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8B127" w14:textId="74B5AFA9" w:rsidR="009F740A" w:rsidRPr="009F46DF" w:rsidRDefault="006500BE" w:rsidP="009F740A">
      <w:pPr>
        <w:rPr>
          <w:sz w:val="52"/>
          <w:szCs w:val="52"/>
        </w:rPr>
      </w:pPr>
      <w:r w:rsidRPr="009F46DF">
        <w:rPr>
          <w:noProof/>
          <w:sz w:val="52"/>
          <w:szCs w:val="52"/>
        </w:rPr>
        <w:drawing>
          <wp:anchor distT="0" distB="0" distL="114300" distR="114300" simplePos="0" relativeHeight="251690496" behindDoc="0" locked="0" layoutInCell="1" allowOverlap="1" wp14:anchorId="7920D788" wp14:editId="27B61A79">
            <wp:simplePos x="0" y="0"/>
            <wp:positionH relativeFrom="margin">
              <wp:posOffset>-736600</wp:posOffset>
            </wp:positionH>
            <wp:positionV relativeFrom="paragraph">
              <wp:posOffset>-469900</wp:posOffset>
            </wp:positionV>
            <wp:extent cx="1292120" cy="1310640"/>
            <wp:effectExtent l="0" t="0" r="0"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2120" cy="1310640"/>
                    </a:xfrm>
                    <a:prstGeom prst="rect">
                      <a:avLst/>
                    </a:prstGeom>
                  </pic:spPr>
                </pic:pic>
              </a:graphicData>
            </a:graphic>
            <wp14:sizeRelH relativeFrom="page">
              <wp14:pctWidth>0</wp14:pctWidth>
            </wp14:sizeRelH>
            <wp14:sizeRelV relativeFrom="page">
              <wp14:pctHeight>0</wp14:pctHeight>
            </wp14:sizeRelV>
          </wp:anchor>
        </w:drawing>
      </w:r>
      <w:r w:rsidR="009F740A" w:rsidRPr="009F46DF">
        <w:rPr>
          <w:noProof/>
          <w:sz w:val="52"/>
          <w:szCs w:val="52"/>
        </w:rPr>
        <w:drawing>
          <wp:anchor distT="0" distB="0" distL="114300" distR="114300" simplePos="0" relativeHeight="251639296" behindDoc="0" locked="0" layoutInCell="1" allowOverlap="1" wp14:anchorId="3BA16EF9" wp14:editId="58464479">
            <wp:simplePos x="0" y="0"/>
            <wp:positionH relativeFrom="margin">
              <wp:posOffset>3971925</wp:posOffset>
            </wp:positionH>
            <wp:positionV relativeFrom="paragraph">
              <wp:posOffset>-589189</wp:posOffset>
            </wp:positionV>
            <wp:extent cx="2095500" cy="1356183"/>
            <wp:effectExtent l="0" t="0" r="0" b="0"/>
            <wp:wrapNone/>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5500" cy="1356183"/>
                    </a:xfrm>
                    <a:prstGeom prst="rect">
                      <a:avLst/>
                    </a:prstGeom>
                  </pic:spPr>
                </pic:pic>
              </a:graphicData>
            </a:graphic>
            <wp14:sizeRelH relativeFrom="page">
              <wp14:pctWidth>0</wp14:pctWidth>
            </wp14:sizeRelH>
            <wp14:sizeRelV relativeFrom="page">
              <wp14:pctHeight>0</wp14:pctHeight>
            </wp14:sizeRelV>
          </wp:anchor>
        </w:drawing>
      </w:r>
    </w:p>
    <w:p w14:paraId="0A1114AA" w14:textId="77777777" w:rsidR="009F740A" w:rsidRPr="009F46DF" w:rsidRDefault="009F740A" w:rsidP="009F740A">
      <w:pPr>
        <w:rPr>
          <w:sz w:val="52"/>
          <w:szCs w:val="52"/>
        </w:rPr>
      </w:pPr>
    </w:p>
    <w:p w14:paraId="4B64EB62" w14:textId="77777777" w:rsidR="00425364" w:rsidRDefault="00425364" w:rsidP="00307092">
      <w:pPr>
        <w:tabs>
          <w:tab w:val="right" w:pos="8408"/>
        </w:tabs>
        <w:rPr>
          <w:rFonts w:ascii="Arial" w:hAnsi="Arial" w:cs="Arial"/>
          <w:b/>
          <w:bCs/>
          <w:color w:val="365F91" w:themeColor="accent1" w:themeShade="BF"/>
          <w:sz w:val="56"/>
          <w:szCs w:val="56"/>
        </w:rPr>
      </w:pPr>
    </w:p>
    <w:p w14:paraId="3B791F11" w14:textId="5270C5E6" w:rsidR="009F740A" w:rsidRPr="00425364" w:rsidRDefault="00347F40" w:rsidP="00425364">
      <w:pPr>
        <w:ind w:left="-426" w:right="-193"/>
        <w:rPr>
          <w:rFonts w:ascii="Arial" w:hAnsi="Arial" w:cs="Arial"/>
          <w:b/>
          <w:bCs/>
          <w:color w:val="365F91" w:themeColor="accent1" w:themeShade="BF"/>
          <w:sz w:val="56"/>
          <w:szCs w:val="56"/>
        </w:rPr>
      </w:pPr>
      <w:r w:rsidRPr="00425364">
        <w:rPr>
          <w:rFonts w:ascii="Arial" w:hAnsi="Arial" w:cs="Arial"/>
          <w:b/>
          <w:bCs/>
          <w:color w:val="365F91" w:themeColor="accent1" w:themeShade="BF"/>
          <w:sz w:val="56"/>
          <w:szCs w:val="56"/>
        </w:rPr>
        <w:t>P</w:t>
      </w:r>
      <w:r w:rsidR="00D0192A" w:rsidRPr="00425364">
        <w:rPr>
          <w:rFonts w:ascii="Arial" w:hAnsi="Arial" w:cs="Arial"/>
          <w:b/>
          <w:bCs/>
          <w:color w:val="365F91" w:themeColor="accent1" w:themeShade="BF"/>
          <w:sz w:val="56"/>
          <w:szCs w:val="56"/>
        </w:rPr>
        <w:t xml:space="preserve">atient </w:t>
      </w:r>
      <w:r w:rsidRPr="00425364">
        <w:rPr>
          <w:rFonts w:ascii="Arial" w:hAnsi="Arial" w:cs="Arial"/>
          <w:b/>
          <w:bCs/>
          <w:color w:val="365F91" w:themeColor="accent1" w:themeShade="BF"/>
          <w:sz w:val="56"/>
          <w:szCs w:val="56"/>
        </w:rPr>
        <w:t>S</w:t>
      </w:r>
      <w:r w:rsidR="00D0192A" w:rsidRPr="00425364">
        <w:rPr>
          <w:rFonts w:ascii="Arial" w:hAnsi="Arial" w:cs="Arial"/>
          <w:b/>
          <w:bCs/>
          <w:color w:val="365F91" w:themeColor="accent1" w:themeShade="BF"/>
          <w:sz w:val="56"/>
          <w:szCs w:val="56"/>
        </w:rPr>
        <w:t xml:space="preserve">afety </w:t>
      </w:r>
      <w:r w:rsidRPr="00425364">
        <w:rPr>
          <w:rFonts w:ascii="Arial" w:hAnsi="Arial" w:cs="Arial"/>
          <w:b/>
          <w:bCs/>
          <w:color w:val="365F91" w:themeColor="accent1" w:themeShade="BF"/>
          <w:sz w:val="56"/>
          <w:szCs w:val="56"/>
        </w:rPr>
        <w:t>I</w:t>
      </w:r>
      <w:r w:rsidR="00D0192A" w:rsidRPr="00425364">
        <w:rPr>
          <w:rFonts w:ascii="Arial" w:hAnsi="Arial" w:cs="Arial"/>
          <w:b/>
          <w:bCs/>
          <w:color w:val="365F91" w:themeColor="accent1" w:themeShade="BF"/>
          <w:sz w:val="56"/>
          <w:szCs w:val="56"/>
        </w:rPr>
        <w:t xml:space="preserve">ncident </w:t>
      </w:r>
      <w:r w:rsidRPr="00425364">
        <w:rPr>
          <w:rFonts w:ascii="Arial" w:hAnsi="Arial" w:cs="Arial"/>
          <w:b/>
          <w:bCs/>
          <w:color w:val="365F91" w:themeColor="accent1" w:themeShade="BF"/>
          <w:sz w:val="56"/>
          <w:szCs w:val="56"/>
        </w:rPr>
        <w:t>R</w:t>
      </w:r>
      <w:r w:rsidR="00D0192A" w:rsidRPr="00425364">
        <w:rPr>
          <w:rFonts w:ascii="Arial" w:hAnsi="Arial" w:cs="Arial"/>
          <w:b/>
          <w:bCs/>
          <w:color w:val="365F91" w:themeColor="accent1" w:themeShade="BF"/>
          <w:sz w:val="56"/>
          <w:szCs w:val="56"/>
        </w:rPr>
        <w:t xml:space="preserve">esponse </w:t>
      </w:r>
      <w:r w:rsidRPr="00425364">
        <w:rPr>
          <w:rFonts w:ascii="Arial" w:hAnsi="Arial" w:cs="Arial"/>
          <w:b/>
          <w:bCs/>
          <w:color w:val="365F91" w:themeColor="accent1" w:themeShade="BF"/>
          <w:sz w:val="56"/>
          <w:szCs w:val="56"/>
        </w:rPr>
        <w:t>F</w:t>
      </w:r>
      <w:r w:rsidR="00D0192A" w:rsidRPr="00425364">
        <w:rPr>
          <w:rFonts w:ascii="Arial" w:hAnsi="Arial" w:cs="Arial"/>
          <w:b/>
          <w:bCs/>
          <w:color w:val="365F91" w:themeColor="accent1" w:themeShade="BF"/>
          <w:sz w:val="56"/>
          <w:szCs w:val="56"/>
        </w:rPr>
        <w:t>ramework (PSIRF)</w:t>
      </w:r>
      <w:r w:rsidRPr="00425364">
        <w:rPr>
          <w:rFonts w:ascii="Arial" w:hAnsi="Arial" w:cs="Arial"/>
          <w:b/>
          <w:bCs/>
          <w:color w:val="365F91" w:themeColor="accent1" w:themeShade="BF"/>
          <w:sz w:val="56"/>
          <w:szCs w:val="56"/>
        </w:rPr>
        <w:t xml:space="preserve"> Policy </w:t>
      </w:r>
    </w:p>
    <w:p w14:paraId="7868A8A8" w14:textId="77777777" w:rsidR="00AD2A2A" w:rsidRDefault="00AD2A2A" w:rsidP="00AD2A2A">
      <w:pPr>
        <w:spacing w:after="0" w:line="240" w:lineRule="auto"/>
        <w:ind w:left="-142"/>
        <w:rPr>
          <w:rFonts w:ascii="Arial" w:hAnsi="Arial" w:cs="Arial"/>
          <w:b/>
          <w:color w:val="365F91" w:themeColor="accent1" w:themeShade="BF"/>
        </w:rPr>
      </w:pPr>
      <w:bookmarkStart w:id="0" w:name="_Toc315975702"/>
      <w:bookmarkStart w:id="1" w:name="_Toc316636681"/>
      <w:bookmarkStart w:id="2" w:name="_Toc319499450"/>
    </w:p>
    <w:p w14:paraId="178C561A" w14:textId="1B50736C" w:rsidR="00AD2A2A" w:rsidRPr="00AD2A2A" w:rsidRDefault="00AD2A2A" w:rsidP="00AD2A2A">
      <w:pPr>
        <w:spacing w:after="0" w:line="240" w:lineRule="auto"/>
        <w:ind w:left="-142"/>
        <w:rPr>
          <w:rFonts w:ascii="Arial" w:hAnsi="Arial" w:cs="Arial"/>
          <w:b/>
          <w:color w:val="365F91" w:themeColor="accent1" w:themeShade="BF"/>
        </w:rPr>
      </w:pPr>
      <w:r w:rsidRPr="00AD2A2A">
        <w:rPr>
          <w:rFonts w:ascii="Arial" w:hAnsi="Arial" w:cs="Arial"/>
          <w:b/>
          <w:color w:val="365F91" w:themeColor="accent1" w:themeShade="BF"/>
        </w:rPr>
        <w:t xml:space="preserve">DOCUMENT CONTROL </w:t>
      </w:r>
    </w:p>
    <w:p w14:paraId="7DCFDE1C" w14:textId="77777777" w:rsidR="00AD2A2A" w:rsidRPr="00AD2A2A" w:rsidRDefault="00AD2A2A" w:rsidP="00AD2A2A">
      <w:pPr>
        <w:spacing w:after="0" w:line="240" w:lineRule="auto"/>
        <w:ind w:left="-142"/>
        <w:rPr>
          <w:rFonts w:ascii="Arial" w:hAnsi="Arial" w:cs="Arial"/>
          <w:b/>
          <w:color w:val="0070C0"/>
        </w:rPr>
      </w:pPr>
    </w:p>
    <w:p w14:paraId="2A88E0FE" w14:textId="77777777" w:rsidR="00AD2A2A" w:rsidRPr="00AD2A2A" w:rsidRDefault="00AD2A2A" w:rsidP="00AD2A2A">
      <w:pPr>
        <w:tabs>
          <w:tab w:val="left" w:pos="3090"/>
        </w:tabs>
        <w:spacing w:after="0" w:line="240" w:lineRule="auto"/>
        <w:ind w:left="-142" w:right="-99"/>
        <w:jc w:val="both"/>
        <w:rPr>
          <w:rFonts w:ascii="Arial" w:hAnsi="Arial" w:cs="Arial"/>
          <w:i/>
          <w:iCs/>
          <w:spacing w:val="-1"/>
          <w:w w:val="105"/>
        </w:rPr>
      </w:pPr>
      <w:r w:rsidRPr="00AD2A2A">
        <w:rPr>
          <w:rFonts w:ascii="Arial" w:hAnsi="Arial" w:cs="Arial"/>
          <w:i/>
          <w:iCs/>
          <w:spacing w:val="-1"/>
          <w:w w:val="105"/>
        </w:rPr>
        <w:t xml:space="preserve">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website. </w:t>
      </w:r>
    </w:p>
    <w:p w14:paraId="602C3DD3" w14:textId="77777777" w:rsidR="00AD2A2A" w:rsidRPr="00AD2A2A" w:rsidRDefault="00AD2A2A" w:rsidP="00AD2A2A">
      <w:pPr>
        <w:keepNext/>
        <w:keepLines/>
        <w:overflowPunct w:val="0"/>
        <w:autoSpaceDE w:val="0"/>
        <w:autoSpaceDN w:val="0"/>
        <w:adjustRightInd w:val="0"/>
        <w:spacing w:after="0" w:line="240" w:lineRule="auto"/>
        <w:ind w:left="-142" w:right="-99"/>
        <w:jc w:val="both"/>
        <w:textAlignment w:val="baseline"/>
        <w:rPr>
          <w:rFonts w:ascii="Arial" w:hAnsi="Arial" w:cs="Arial"/>
          <w:i/>
          <w:iCs/>
          <w:color w:val="008000"/>
        </w:rPr>
      </w:pPr>
    </w:p>
    <w:p w14:paraId="1C4CA16B" w14:textId="1309F211" w:rsidR="00AD2A2A" w:rsidRPr="00AD2A2A" w:rsidRDefault="00AD2A2A" w:rsidP="00AD2A2A">
      <w:pPr>
        <w:keepNext/>
        <w:keepLines/>
        <w:overflowPunct w:val="0"/>
        <w:autoSpaceDE w:val="0"/>
        <w:autoSpaceDN w:val="0"/>
        <w:adjustRightInd w:val="0"/>
        <w:spacing w:after="0" w:line="240" w:lineRule="auto"/>
        <w:ind w:left="-142" w:right="-99"/>
        <w:jc w:val="both"/>
        <w:textAlignment w:val="baseline"/>
        <w:rPr>
          <w:rFonts w:ascii="Arial" w:hAnsi="Arial" w:cs="Arial"/>
          <w:i/>
          <w:iCs/>
        </w:rPr>
      </w:pPr>
      <w:r w:rsidRPr="00676D86">
        <w:rPr>
          <w:rFonts w:ascii="Webdings" w:hAnsi="Webdings" w:cs="Times New Roman"/>
          <w:i/>
          <w:iCs/>
          <w:color w:val="008000"/>
        </w:rPr>
        <w:t></w:t>
      </w:r>
      <w:r w:rsidRPr="00676D86">
        <w:rPr>
          <w:rFonts w:ascii="Webdings" w:hAnsi="Webdings" w:cs="Times New Roman"/>
          <w:i/>
          <w:iCs/>
          <w:color w:val="008000"/>
        </w:rPr>
        <w:t></w:t>
      </w:r>
      <w:r w:rsidRPr="00AD2A2A">
        <w:rPr>
          <w:rFonts w:ascii="Arial" w:hAnsi="Arial" w:cs="Arial"/>
          <w:i/>
          <w:iCs/>
        </w:rPr>
        <w:t xml:space="preserve">Do you really need to print this document? </w:t>
      </w:r>
    </w:p>
    <w:p w14:paraId="42D95093" w14:textId="77777777" w:rsidR="00AD2A2A" w:rsidRPr="00AD2A2A" w:rsidRDefault="00AD2A2A" w:rsidP="00AD2A2A">
      <w:pPr>
        <w:keepNext/>
        <w:keepLines/>
        <w:overflowPunct w:val="0"/>
        <w:autoSpaceDE w:val="0"/>
        <w:autoSpaceDN w:val="0"/>
        <w:adjustRightInd w:val="0"/>
        <w:spacing w:after="0" w:line="240" w:lineRule="auto"/>
        <w:ind w:left="-142" w:right="-99"/>
        <w:jc w:val="both"/>
        <w:textAlignment w:val="baseline"/>
        <w:rPr>
          <w:rFonts w:ascii="Arial" w:hAnsi="Arial" w:cs="Arial"/>
          <w:i/>
          <w:iCs/>
        </w:rPr>
      </w:pPr>
      <w:r w:rsidRPr="00AD2A2A">
        <w:rPr>
          <w:rFonts w:ascii="Arial" w:hAnsi="Arial" w:cs="Arial"/>
          <w:i/>
          <w:iCs/>
        </w:rPr>
        <w:t>Please consider the environment before you print this document and where copies should be printed double-sided. Please also consider setting the Page Range in the Print properties, when relevant to do so, to avoid printing the policy in its entirety.</w:t>
      </w:r>
    </w:p>
    <w:p w14:paraId="68E4B80B" w14:textId="77777777" w:rsidR="00676D86" w:rsidRPr="00AD2A2A" w:rsidRDefault="00676D86" w:rsidP="00AD2A2A">
      <w:pPr>
        <w:spacing w:after="0" w:line="240" w:lineRule="auto"/>
        <w:ind w:left="-142"/>
        <w:rPr>
          <w:rFonts w:ascii="Arial" w:hAnsi="Arial" w:cs="Arial"/>
          <w:b/>
          <w:color w:val="0070C0"/>
        </w:rPr>
      </w:pPr>
    </w:p>
    <w:bookmarkEnd w:id="0"/>
    <w:bookmarkEnd w:id="1"/>
    <w:bookmarkEnd w:id="2"/>
    <w:p w14:paraId="06E3A185" w14:textId="22F7A489" w:rsidR="00676D86" w:rsidRPr="00AD2A2A" w:rsidRDefault="00676D86" w:rsidP="00AD2A2A">
      <w:pPr>
        <w:keepNext/>
        <w:keepLines/>
        <w:overflowPunct w:val="0"/>
        <w:autoSpaceDE w:val="0"/>
        <w:autoSpaceDN w:val="0"/>
        <w:adjustRightInd w:val="0"/>
        <w:spacing w:after="0" w:line="240" w:lineRule="auto"/>
        <w:ind w:left="-142" w:right="-99"/>
        <w:jc w:val="both"/>
        <w:textAlignment w:val="baseline"/>
        <w:rPr>
          <w:rFonts w:ascii="Arial" w:hAnsi="Arial" w:cs="Arial"/>
          <w:i/>
          <w:iCs/>
        </w:rPr>
      </w:pPr>
    </w:p>
    <w:p w14:paraId="116FD6BE" w14:textId="77777777" w:rsidR="009E027D" w:rsidRPr="00AD2A2A" w:rsidRDefault="009E027D" w:rsidP="00AD2A2A">
      <w:pPr>
        <w:keepNext/>
        <w:keepLines/>
        <w:overflowPunct w:val="0"/>
        <w:autoSpaceDE w:val="0"/>
        <w:autoSpaceDN w:val="0"/>
        <w:adjustRightInd w:val="0"/>
        <w:spacing w:after="0" w:line="240" w:lineRule="auto"/>
        <w:ind w:left="-142" w:right="-99"/>
        <w:jc w:val="both"/>
        <w:textAlignment w:val="baseline"/>
        <w:rPr>
          <w:rFonts w:ascii="Arial" w:hAnsi="Arial" w:cs="Arial"/>
          <w:i/>
          <w:iCs/>
        </w:rPr>
      </w:pPr>
    </w:p>
    <w:tbl>
      <w:tblPr>
        <w:tblStyle w:val="TableGrid"/>
        <w:tblW w:w="8789" w:type="dxa"/>
        <w:tblInd w:w="-147" w:type="dxa"/>
        <w:tblLook w:val="04A0" w:firstRow="1" w:lastRow="0" w:firstColumn="1" w:lastColumn="0" w:noHBand="0" w:noVBand="1"/>
      </w:tblPr>
      <w:tblGrid>
        <w:gridCol w:w="2405"/>
        <w:gridCol w:w="6384"/>
      </w:tblGrid>
      <w:tr w:rsidR="00676D86" w:rsidRPr="00425364" w14:paraId="78E19B78" w14:textId="77777777" w:rsidTr="009F46DF">
        <w:tc>
          <w:tcPr>
            <w:tcW w:w="2405" w:type="dxa"/>
            <w:shd w:val="clear" w:color="auto" w:fill="F2F2F2" w:themeFill="background1" w:themeFillShade="F2"/>
          </w:tcPr>
          <w:p w14:paraId="30E370BF" w14:textId="1B493E45" w:rsidR="00676D86" w:rsidRPr="00425364" w:rsidRDefault="00676D86" w:rsidP="00676D86">
            <w:pPr>
              <w:spacing w:before="60" w:after="60"/>
              <w:rPr>
                <w:rFonts w:ascii="Arial" w:hAnsi="Arial" w:cs="Arial"/>
                <w:b/>
                <w:bCs/>
                <w:color w:val="365F91" w:themeColor="accent1" w:themeShade="BF"/>
              </w:rPr>
            </w:pPr>
            <w:r w:rsidRPr="00425364">
              <w:rPr>
                <w:rFonts w:ascii="Arial" w:hAnsi="Arial" w:cs="Arial"/>
                <w:b/>
                <w:bCs/>
                <w:color w:val="365F91" w:themeColor="accent1" w:themeShade="BF"/>
              </w:rPr>
              <w:br w:type="page"/>
              <w:t>Document Owner:</w:t>
            </w:r>
          </w:p>
        </w:tc>
        <w:tc>
          <w:tcPr>
            <w:tcW w:w="6384" w:type="dxa"/>
          </w:tcPr>
          <w:p w14:paraId="20690B42" w14:textId="0C9CE4E0" w:rsidR="00676D86" w:rsidRPr="00425364" w:rsidRDefault="00BD1171" w:rsidP="00676D86">
            <w:pPr>
              <w:spacing w:before="60" w:after="60"/>
              <w:rPr>
                <w:rFonts w:ascii="Arial" w:hAnsi="Arial" w:cs="Arial"/>
              </w:rPr>
            </w:pPr>
            <w:r w:rsidRPr="00425364">
              <w:rPr>
                <w:rFonts w:ascii="Arial" w:hAnsi="Arial" w:cs="Arial"/>
              </w:rPr>
              <w:t>Natalie Hammond</w:t>
            </w:r>
            <w:r w:rsidR="00E762BD" w:rsidRPr="00425364">
              <w:rPr>
                <w:rFonts w:ascii="Arial" w:hAnsi="Arial" w:cs="Arial"/>
              </w:rPr>
              <w:t>, Director of Nursing and Quality</w:t>
            </w:r>
            <w:r w:rsidRPr="00425364">
              <w:rPr>
                <w:rFonts w:ascii="Arial" w:hAnsi="Arial" w:cs="Arial"/>
              </w:rPr>
              <w:t xml:space="preserve"> </w:t>
            </w:r>
          </w:p>
        </w:tc>
      </w:tr>
      <w:tr w:rsidR="00676D86" w:rsidRPr="00425364" w14:paraId="3EB7A953" w14:textId="77777777" w:rsidTr="009F46DF">
        <w:tc>
          <w:tcPr>
            <w:tcW w:w="2405" w:type="dxa"/>
            <w:shd w:val="clear" w:color="auto" w:fill="F2F2F2" w:themeFill="background1" w:themeFillShade="F2"/>
          </w:tcPr>
          <w:p w14:paraId="02164927" w14:textId="77281545" w:rsidR="00676D86" w:rsidRPr="00425364" w:rsidRDefault="00676D86" w:rsidP="009F46DF">
            <w:pPr>
              <w:spacing w:before="60" w:after="60"/>
              <w:ind w:right="-250"/>
              <w:rPr>
                <w:rFonts w:ascii="Arial" w:hAnsi="Arial" w:cs="Arial"/>
                <w:b/>
                <w:bCs/>
                <w:color w:val="365F91" w:themeColor="accent1" w:themeShade="BF"/>
              </w:rPr>
            </w:pPr>
            <w:r w:rsidRPr="00425364">
              <w:rPr>
                <w:rFonts w:ascii="Arial" w:hAnsi="Arial" w:cs="Arial"/>
                <w:b/>
                <w:bCs/>
                <w:color w:val="365F91" w:themeColor="accent1" w:themeShade="BF"/>
              </w:rPr>
              <w:t>Document Author(s):</w:t>
            </w:r>
          </w:p>
        </w:tc>
        <w:tc>
          <w:tcPr>
            <w:tcW w:w="6384" w:type="dxa"/>
          </w:tcPr>
          <w:p w14:paraId="301B9A6E" w14:textId="5825054A" w:rsidR="00E762BD" w:rsidRPr="00425364" w:rsidRDefault="00E762BD" w:rsidP="00676D86">
            <w:pPr>
              <w:spacing w:before="60" w:after="60"/>
              <w:rPr>
                <w:rFonts w:ascii="Arial" w:hAnsi="Arial" w:cs="Arial"/>
              </w:rPr>
            </w:pPr>
            <w:r w:rsidRPr="00425364">
              <w:rPr>
                <w:rFonts w:ascii="Arial" w:hAnsi="Arial" w:cs="Arial"/>
              </w:rPr>
              <w:t>Chris Harvey, Assistant Director Nursing and Quality (ICB Deputy Patient Safety Specialist)</w:t>
            </w:r>
          </w:p>
          <w:p w14:paraId="2C0108B4" w14:textId="488530FF" w:rsidR="00676D86" w:rsidRPr="00425364" w:rsidRDefault="00BD1171" w:rsidP="00676D86">
            <w:pPr>
              <w:spacing w:before="60" w:after="60"/>
              <w:rPr>
                <w:rFonts w:ascii="Arial" w:hAnsi="Arial" w:cs="Arial"/>
              </w:rPr>
            </w:pPr>
            <w:r w:rsidRPr="00425364">
              <w:rPr>
                <w:rFonts w:ascii="Arial" w:hAnsi="Arial" w:cs="Arial"/>
              </w:rPr>
              <w:t>Rosie Connolly</w:t>
            </w:r>
            <w:r w:rsidR="00E762BD" w:rsidRPr="00425364">
              <w:rPr>
                <w:rFonts w:ascii="Arial" w:hAnsi="Arial" w:cs="Arial"/>
              </w:rPr>
              <w:t>, Deputy Director Quality Improvement and Patient Safety (ICB Patient Safety Specialist)</w:t>
            </w:r>
          </w:p>
        </w:tc>
      </w:tr>
      <w:tr w:rsidR="00676D86" w:rsidRPr="00425364" w14:paraId="59DD17B9" w14:textId="77777777" w:rsidTr="009F46DF">
        <w:tc>
          <w:tcPr>
            <w:tcW w:w="2405" w:type="dxa"/>
            <w:shd w:val="clear" w:color="auto" w:fill="F2F2F2" w:themeFill="background1" w:themeFillShade="F2"/>
          </w:tcPr>
          <w:p w14:paraId="26E7AE05" w14:textId="57C4EDC7" w:rsidR="00676D86" w:rsidRPr="00425364" w:rsidRDefault="00676D86" w:rsidP="00676D86">
            <w:pPr>
              <w:spacing w:before="60" w:after="60"/>
              <w:rPr>
                <w:rFonts w:ascii="Arial" w:hAnsi="Arial" w:cs="Arial"/>
                <w:b/>
                <w:bCs/>
                <w:color w:val="365F91" w:themeColor="accent1" w:themeShade="BF"/>
              </w:rPr>
            </w:pPr>
            <w:r w:rsidRPr="00425364">
              <w:rPr>
                <w:rFonts w:ascii="Arial" w:hAnsi="Arial" w:cs="Arial"/>
                <w:b/>
                <w:bCs/>
                <w:color w:val="365F91" w:themeColor="accent1" w:themeShade="BF"/>
              </w:rPr>
              <w:t>Version:</w:t>
            </w:r>
          </w:p>
        </w:tc>
        <w:tc>
          <w:tcPr>
            <w:tcW w:w="6384" w:type="dxa"/>
          </w:tcPr>
          <w:p w14:paraId="210BB9A1" w14:textId="7722CA79" w:rsidR="00676D86" w:rsidRPr="00425364" w:rsidRDefault="00BD1171" w:rsidP="00676D86">
            <w:pPr>
              <w:spacing w:before="60" w:after="60"/>
              <w:rPr>
                <w:rFonts w:ascii="Arial" w:hAnsi="Arial" w:cs="Arial"/>
              </w:rPr>
            </w:pPr>
            <w:r w:rsidRPr="00425364">
              <w:rPr>
                <w:rFonts w:ascii="Arial" w:hAnsi="Arial" w:cs="Arial"/>
              </w:rPr>
              <w:t>V1.</w:t>
            </w:r>
            <w:r w:rsidR="004B46EB">
              <w:rPr>
                <w:rFonts w:ascii="Arial" w:hAnsi="Arial" w:cs="Arial"/>
              </w:rPr>
              <w:t>1</w:t>
            </w:r>
            <w:r w:rsidR="00421B31" w:rsidRPr="00425364">
              <w:rPr>
                <w:rFonts w:ascii="Arial" w:hAnsi="Arial" w:cs="Arial"/>
              </w:rPr>
              <w:t xml:space="preserve"> </w:t>
            </w:r>
            <w:r w:rsidR="004B46EB">
              <w:rPr>
                <w:rFonts w:ascii="Arial" w:hAnsi="Arial" w:cs="Arial"/>
              </w:rPr>
              <w:t>Final</w:t>
            </w:r>
          </w:p>
        </w:tc>
      </w:tr>
      <w:tr w:rsidR="00676D86" w:rsidRPr="00425364" w14:paraId="2B42E0B0" w14:textId="77777777" w:rsidTr="009F46DF">
        <w:tc>
          <w:tcPr>
            <w:tcW w:w="2405" w:type="dxa"/>
            <w:shd w:val="clear" w:color="auto" w:fill="F2F2F2" w:themeFill="background1" w:themeFillShade="F2"/>
          </w:tcPr>
          <w:p w14:paraId="4889BD1E" w14:textId="7291741B" w:rsidR="00676D86" w:rsidRPr="00425364" w:rsidRDefault="00676D86" w:rsidP="00676D86">
            <w:pPr>
              <w:spacing w:before="60" w:after="60"/>
              <w:rPr>
                <w:rFonts w:ascii="Arial" w:hAnsi="Arial" w:cs="Arial"/>
                <w:b/>
                <w:bCs/>
                <w:color w:val="365F91" w:themeColor="accent1" w:themeShade="BF"/>
              </w:rPr>
            </w:pPr>
            <w:r w:rsidRPr="00425364">
              <w:rPr>
                <w:rFonts w:ascii="Arial" w:hAnsi="Arial" w:cs="Arial"/>
                <w:b/>
                <w:bCs/>
                <w:color w:val="365F91" w:themeColor="accent1" w:themeShade="BF"/>
              </w:rPr>
              <w:t>Appro</w:t>
            </w:r>
            <w:r w:rsidR="00F00B7C" w:rsidRPr="00425364">
              <w:rPr>
                <w:rFonts w:ascii="Arial" w:hAnsi="Arial" w:cs="Arial"/>
                <w:b/>
                <w:bCs/>
                <w:color w:val="365F91" w:themeColor="accent1" w:themeShade="BF"/>
              </w:rPr>
              <w:t>ved</w:t>
            </w:r>
            <w:r w:rsidRPr="00425364">
              <w:rPr>
                <w:rFonts w:ascii="Arial" w:hAnsi="Arial" w:cs="Arial"/>
                <w:b/>
                <w:bCs/>
                <w:color w:val="365F91" w:themeColor="accent1" w:themeShade="BF"/>
              </w:rPr>
              <w:t xml:space="preserve"> By:</w:t>
            </w:r>
          </w:p>
        </w:tc>
        <w:tc>
          <w:tcPr>
            <w:tcW w:w="6384" w:type="dxa"/>
          </w:tcPr>
          <w:p w14:paraId="6729021C" w14:textId="4749C5CD" w:rsidR="00676D86" w:rsidRPr="00425364" w:rsidRDefault="00341382" w:rsidP="00676D86">
            <w:pPr>
              <w:spacing w:before="60" w:after="60"/>
              <w:rPr>
                <w:rFonts w:ascii="Arial" w:hAnsi="Arial" w:cs="Arial"/>
              </w:rPr>
            </w:pPr>
            <w:r>
              <w:rPr>
                <w:rFonts w:ascii="Arial" w:hAnsi="Arial" w:cs="Arial"/>
              </w:rPr>
              <w:t>Executive Team (v1.0)</w:t>
            </w:r>
          </w:p>
        </w:tc>
      </w:tr>
      <w:tr w:rsidR="00676D86" w:rsidRPr="00425364" w14:paraId="47C5F9D8" w14:textId="77777777" w:rsidTr="009F46DF">
        <w:tc>
          <w:tcPr>
            <w:tcW w:w="2405" w:type="dxa"/>
            <w:shd w:val="clear" w:color="auto" w:fill="F2F2F2" w:themeFill="background1" w:themeFillShade="F2"/>
          </w:tcPr>
          <w:p w14:paraId="3FB284B9" w14:textId="6C658A73" w:rsidR="00676D86" w:rsidRPr="00425364" w:rsidRDefault="00676D86" w:rsidP="00676D86">
            <w:pPr>
              <w:spacing w:before="60" w:after="60"/>
              <w:rPr>
                <w:rFonts w:ascii="Arial" w:hAnsi="Arial" w:cs="Arial"/>
                <w:b/>
                <w:bCs/>
                <w:color w:val="365F91" w:themeColor="accent1" w:themeShade="BF"/>
              </w:rPr>
            </w:pPr>
            <w:r w:rsidRPr="00425364">
              <w:rPr>
                <w:rFonts w:ascii="Arial" w:hAnsi="Arial" w:cs="Arial"/>
                <w:b/>
                <w:bCs/>
                <w:color w:val="365F91" w:themeColor="accent1" w:themeShade="BF"/>
              </w:rPr>
              <w:t>Date of Approval:</w:t>
            </w:r>
          </w:p>
        </w:tc>
        <w:tc>
          <w:tcPr>
            <w:tcW w:w="6384" w:type="dxa"/>
          </w:tcPr>
          <w:p w14:paraId="3E9A7D4E" w14:textId="3B8C2226" w:rsidR="00676D86" w:rsidRPr="00425364" w:rsidRDefault="00D2621C" w:rsidP="00676D86">
            <w:pPr>
              <w:spacing w:before="60" w:after="60"/>
              <w:rPr>
                <w:rFonts w:ascii="Arial" w:hAnsi="Arial" w:cs="Arial"/>
              </w:rPr>
            </w:pPr>
            <w:r>
              <w:rPr>
                <w:rFonts w:ascii="Arial" w:hAnsi="Arial" w:cs="Arial"/>
              </w:rPr>
              <w:t xml:space="preserve">06 </w:t>
            </w:r>
            <w:r w:rsidR="00341382">
              <w:rPr>
                <w:rFonts w:ascii="Arial" w:hAnsi="Arial" w:cs="Arial"/>
              </w:rPr>
              <w:t>October 2023</w:t>
            </w:r>
          </w:p>
        </w:tc>
      </w:tr>
      <w:tr w:rsidR="00676D86" w:rsidRPr="00425364" w14:paraId="12A50587" w14:textId="77777777" w:rsidTr="009F46DF">
        <w:tc>
          <w:tcPr>
            <w:tcW w:w="2405" w:type="dxa"/>
            <w:shd w:val="clear" w:color="auto" w:fill="F2F2F2" w:themeFill="background1" w:themeFillShade="F2"/>
          </w:tcPr>
          <w:p w14:paraId="110EAB83" w14:textId="0E7D4AA7" w:rsidR="00676D86" w:rsidRPr="00425364" w:rsidRDefault="00676D86" w:rsidP="00676D86">
            <w:pPr>
              <w:spacing w:before="60" w:after="60"/>
              <w:rPr>
                <w:rFonts w:ascii="Arial" w:hAnsi="Arial" w:cs="Arial"/>
                <w:b/>
                <w:bCs/>
                <w:color w:val="365F91" w:themeColor="accent1" w:themeShade="BF"/>
              </w:rPr>
            </w:pPr>
            <w:r w:rsidRPr="00425364">
              <w:rPr>
                <w:rFonts w:ascii="Arial" w:hAnsi="Arial" w:cs="Arial"/>
                <w:b/>
                <w:bCs/>
                <w:color w:val="365F91" w:themeColor="accent1" w:themeShade="BF"/>
              </w:rPr>
              <w:t>Date of Review:</w:t>
            </w:r>
          </w:p>
        </w:tc>
        <w:tc>
          <w:tcPr>
            <w:tcW w:w="6384" w:type="dxa"/>
          </w:tcPr>
          <w:p w14:paraId="7AD68479" w14:textId="30B63B16" w:rsidR="00676D86" w:rsidRPr="00425364" w:rsidRDefault="00BD6113" w:rsidP="00676D86">
            <w:pPr>
              <w:spacing w:before="60" w:after="60"/>
              <w:rPr>
                <w:rFonts w:ascii="Arial" w:hAnsi="Arial" w:cs="Arial"/>
              </w:rPr>
            </w:pPr>
            <w:r w:rsidRPr="00425364">
              <w:rPr>
                <w:rFonts w:ascii="Arial" w:hAnsi="Arial" w:cs="Arial"/>
              </w:rPr>
              <w:t>October</w:t>
            </w:r>
            <w:r w:rsidR="00E762BD" w:rsidRPr="00425364">
              <w:rPr>
                <w:rFonts w:ascii="Arial" w:hAnsi="Arial" w:cs="Arial"/>
              </w:rPr>
              <w:t xml:space="preserve"> 202</w:t>
            </w:r>
            <w:r w:rsidRPr="00425364">
              <w:rPr>
                <w:rFonts w:ascii="Arial" w:hAnsi="Arial" w:cs="Arial"/>
              </w:rPr>
              <w:t>5</w:t>
            </w:r>
          </w:p>
        </w:tc>
      </w:tr>
      <w:tr w:rsidR="007C7285" w:rsidRPr="00425364" w14:paraId="41BA1206" w14:textId="77777777" w:rsidTr="009F46DF">
        <w:tc>
          <w:tcPr>
            <w:tcW w:w="2405" w:type="dxa"/>
            <w:shd w:val="clear" w:color="auto" w:fill="F2F2F2" w:themeFill="background1" w:themeFillShade="F2"/>
          </w:tcPr>
          <w:p w14:paraId="32DDDB24" w14:textId="07D19975" w:rsidR="007C7285" w:rsidRPr="00425364" w:rsidRDefault="007C7285" w:rsidP="00676D86">
            <w:pPr>
              <w:spacing w:before="60" w:after="60"/>
              <w:rPr>
                <w:rFonts w:ascii="Arial" w:hAnsi="Arial" w:cs="Arial"/>
                <w:color w:val="365F91" w:themeColor="accent1" w:themeShade="BF"/>
              </w:rPr>
            </w:pPr>
            <w:r w:rsidRPr="00AD2A2A">
              <w:rPr>
                <w:rFonts w:ascii="Arial" w:hAnsi="Arial" w:cs="Arial"/>
                <w:b/>
                <w:bCs/>
                <w:color w:val="365F91" w:themeColor="accent1" w:themeShade="BF"/>
              </w:rPr>
              <w:t>Link to Strategic Objective(s):</w:t>
            </w:r>
          </w:p>
        </w:tc>
        <w:tc>
          <w:tcPr>
            <w:tcW w:w="6384" w:type="dxa"/>
          </w:tcPr>
          <w:p w14:paraId="1463FCC2" w14:textId="77777777" w:rsidR="00AD2A2A" w:rsidRPr="00AD2A2A" w:rsidRDefault="00347F40" w:rsidP="00AD2A2A">
            <w:pPr>
              <w:spacing w:before="60" w:after="60"/>
              <w:rPr>
                <w:rFonts w:ascii="Arial" w:hAnsi="Arial" w:cs="Arial"/>
              </w:rPr>
            </w:pPr>
            <w:r w:rsidRPr="00AD2A2A">
              <w:rPr>
                <w:rFonts w:ascii="Arial" w:hAnsi="Arial" w:cs="Arial"/>
              </w:rPr>
              <w:t xml:space="preserve">Priority 1: </w:t>
            </w:r>
            <w:r w:rsidR="00E762BD" w:rsidRPr="00AD2A2A">
              <w:rPr>
                <w:rFonts w:ascii="Arial" w:hAnsi="Arial" w:cs="Arial"/>
              </w:rPr>
              <w:t xml:space="preserve">Increase healthy life </w:t>
            </w:r>
            <w:r w:rsidR="00D0192A" w:rsidRPr="00AD2A2A">
              <w:rPr>
                <w:rFonts w:ascii="Arial" w:hAnsi="Arial" w:cs="Arial"/>
              </w:rPr>
              <w:t>expectancy and</w:t>
            </w:r>
            <w:r w:rsidR="00E762BD" w:rsidRPr="00AD2A2A">
              <w:rPr>
                <w:rFonts w:ascii="Arial" w:hAnsi="Arial" w:cs="Arial"/>
              </w:rPr>
              <w:t xml:space="preserve"> reduce inequality</w:t>
            </w:r>
            <w:r w:rsidR="00D0192A" w:rsidRPr="00AD2A2A">
              <w:rPr>
                <w:rFonts w:ascii="Arial" w:hAnsi="Arial" w:cs="Arial"/>
              </w:rPr>
              <w:t>.</w:t>
            </w:r>
            <w:r w:rsidR="00E762BD" w:rsidRPr="00AD2A2A">
              <w:rPr>
                <w:rFonts w:ascii="Arial" w:hAnsi="Arial" w:cs="Arial"/>
              </w:rPr>
              <w:t xml:space="preserve"> </w:t>
            </w:r>
          </w:p>
          <w:p w14:paraId="5813BAB3" w14:textId="7221C3DD" w:rsidR="00347F40" w:rsidRPr="00AD2A2A" w:rsidRDefault="00347F40" w:rsidP="00AD2A2A">
            <w:pPr>
              <w:spacing w:before="60" w:after="60"/>
              <w:rPr>
                <w:rFonts w:ascii="Arial" w:hAnsi="Arial" w:cs="Arial"/>
              </w:rPr>
            </w:pPr>
            <w:r w:rsidRPr="00AD2A2A">
              <w:rPr>
                <w:rFonts w:ascii="Arial" w:hAnsi="Arial" w:cs="Arial"/>
              </w:rPr>
              <w:t xml:space="preserve">Priority 2: </w:t>
            </w:r>
            <w:r w:rsidR="00E762BD" w:rsidRPr="00AD2A2A">
              <w:rPr>
                <w:rFonts w:ascii="Arial" w:hAnsi="Arial" w:cs="Arial"/>
              </w:rPr>
              <w:t>Give every child the best start in life</w:t>
            </w:r>
            <w:r w:rsidR="00D0192A" w:rsidRPr="00AD2A2A">
              <w:rPr>
                <w:rFonts w:ascii="Arial" w:hAnsi="Arial" w:cs="Arial"/>
              </w:rPr>
              <w:t>.</w:t>
            </w:r>
          </w:p>
          <w:p w14:paraId="4935510F" w14:textId="02DB2FBD" w:rsidR="00347F40" w:rsidRPr="00AD2A2A" w:rsidRDefault="00347F40" w:rsidP="00AD2A2A">
            <w:pPr>
              <w:spacing w:before="60" w:after="60"/>
              <w:rPr>
                <w:rFonts w:ascii="Arial" w:hAnsi="Arial" w:cs="Arial"/>
              </w:rPr>
            </w:pPr>
            <w:r w:rsidRPr="00AD2A2A">
              <w:rPr>
                <w:rFonts w:ascii="Arial" w:hAnsi="Arial" w:cs="Arial"/>
              </w:rPr>
              <w:t xml:space="preserve">Priority 3: </w:t>
            </w:r>
            <w:r w:rsidR="00E762BD" w:rsidRPr="00AD2A2A">
              <w:rPr>
                <w:rFonts w:ascii="Arial" w:hAnsi="Arial" w:cs="Arial"/>
              </w:rPr>
              <w:t>Improve access to health and care services</w:t>
            </w:r>
            <w:r w:rsidR="00D0192A" w:rsidRPr="00AD2A2A">
              <w:rPr>
                <w:rFonts w:ascii="Arial" w:hAnsi="Arial" w:cs="Arial"/>
              </w:rPr>
              <w:t>.</w:t>
            </w:r>
          </w:p>
          <w:p w14:paraId="06B569A8" w14:textId="2DC30728" w:rsidR="00347F40" w:rsidRPr="00AD2A2A" w:rsidRDefault="00347F40" w:rsidP="00AD2A2A">
            <w:pPr>
              <w:spacing w:before="60" w:after="60"/>
              <w:rPr>
                <w:rFonts w:ascii="Arial" w:hAnsi="Arial" w:cs="Arial"/>
              </w:rPr>
            </w:pPr>
            <w:r w:rsidRPr="00AD2A2A">
              <w:rPr>
                <w:rFonts w:ascii="Arial" w:hAnsi="Arial" w:cs="Arial"/>
              </w:rPr>
              <w:t xml:space="preserve">Priority 4: </w:t>
            </w:r>
            <w:r w:rsidR="00D0192A" w:rsidRPr="00AD2A2A">
              <w:rPr>
                <w:rFonts w:ascii="Arial" w:hAnsi="Arial" w:cs="Arial"/>
              </w:rPr>
              <w:t>Increase the numbers of citizens taking steps to improve their wellbeing.</w:t>
            </w:r>
          </w:p>
          <w:p w14:paraId="24B4F4D0" w14:textId="2DF6446E" w:rsidR="007C7285" w:rsidRPr="00AD2A2A" w:rsidRDefault="00347F40" w:rsidP="00AD2A2A">
            <w:pPr>
              <w:spacing w:before="60" w:after="60"/>
              <w:rPr>
                <w:rFonts w:ascii="Arial" w:hAnsi="Arial" w:cs="Arial"/>
              </w:rPr>
            </w:pPr>
            <w:r w:rsidRPr="00AD2A2A">
              <w:rPr>
                <w:rFonts w:ascii="Arial" w:hAnsi="Arial" w:cs="Arial"/>
              </w:rPr>
              <w:t xml:space="preserve">Priority 5: </w:t>
            </w:r>
            <w:r w:rsidR="00D0192A" w:rsidRPr="00AD2A2A">
              <w:rPr>
                <w:rFonts w:ascii="Arial" w:hAnsi="Arial" w:cs="Arial"/>
              </w:rPr>
              <w:t>Achieve a balanced financial position annually.</w:t>
            </w:r>
          </w:p>
          <w:p w14:paraId="042CB21F" w14:textId="71FD7D18" w:rsidR="00D0192A" w:rsidRPr="00AD2A2A" w:rsidRDefault="00D0192A" w:rsidP="00AD2A2A">
            <w:pPr>
              <w:spacing w:before="60" w:after="60"/>
              <w:rPr>
                <w:rFonts w:ascii="Arial" w:hAnsi="Arial" w:cs="Arial"/>
              </w:rPr>
            </w:pPr>
          </w:p>
        </w:tc>
      </w:tr>
    </w:tbl>
    <w:p w14:paraId="7424B4E4" w14:textId="77777777" w:rsidR="00AD2A2A" w:rsidRPr="00AD2A2A" w:rsidRDefault="00AD2A2A" w:rsidP="00AD2A2A">
      <w:pPr>
        <w:pStyle w:val="Heading2NoOutline"/>
        <w:shd w:val="clear" w:color="auto" w:fill="auto"/>
        <w:spacing w:before="0"/>
        <w:rPr>
          <w:rFonts w:cs="Arial"/>
          <w:b/>
          <w:bCs/>
          <w:color w:val="365F91" w:themeColor="accent1" w:themeShade="BF"/>
          <w:sz w:val="22"/>
          <w:szCs w:val="22"/>
        </w:rPr>
      </w:pPr>
      <w:r w:rsidRPr="00AD2A2A">
        <w:rPr>
          <w:rFonts w:cs="Arial"/>
          <w:b/>
          <w:bCs/>
          <w:color w:val="365F91" w:themeColor="accent1" w:themeShade="BF"/>
          <w:sz w:val="22"/>
          <w:szCs w:val="22"/>
        </w:rPr>
        <w:lastRenderedPageBreak/>
        <w:t>Change and Approval History:</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864"/>
        <w:gridCol w:w="2835"/>
        <w:gridCol w:w="1985"/>
      </w:tblGrid>
      <w:tr w:rsidR="00AD2A2A" w:rsidRPr="00AD2A2A" w14:paraId="1196E17C" w14:textId="77777777" w:rsidTr="00165C21">
        <w:trPr>
          <w:trHeight w:val="467"/>
        </w:trPr>
        <w:tc>
          <w:tcPr>
            <w:tcW w:w="1134" w:type="dxa"/>
            <w:shd w:val="clear" w:color="auto" w:fill="F2F2F2" w:themeFill="background1" w:themeFillShade="F2"/>
          </w:tcPr>
          <w:p w14:paraId="3F3C8E6E" w14:textId="77777777" w:rsidR="00AD2A2A" w:rsidRPr="00AD2A2A" w:rsidRDefault="00AD2A2A" w:rsidP="00AD2A2A">
            <w:pPr>
              <w:pStyle w:val="Heading2NoOutline"/>
              <w:shd w:val="clear" w:color="auto" w:fill="auto"/>
              <w:spacing w:before="0"/>
              <w:rPr>
                <w:rFonts w:cs="Arial"/>
                <w:b/>
                <w:bCs/>
                <w:color w:val="365F91" w:themeColor="accent1" w:themeShade="BF"/>
                <w:sz w:val="22"/>
                <w:szCs w:val="22"/>
              </w:rPr>
            </w:pPr>
            <w:r w:rsidRPr="00AD2A2A">
              <w:rPr>
                <w:rFonts w:cs="Arial"/>
                <w:b/>
                <w:bCs/>
                <w:color w:val="365F91" w:themeColor="accent1" w:themeShade="BF"/>
                <w:sz w:val="22"/>
                <w:szCs w:val="22"/>
              </w:rPr>
              <w:t>Version</w:t>
            </w:r>
          </w:p>
        </w:tc>
        <w:tc>
          <w:tcPr>
            <w:tcW w:w="2864" w:type="dxa"/>
            <w:shd w:val="clear" w:color="auto" w:fill="F2F2F2" w:themeFill="background1" w:themeFillShade="F2"/>
          </w:tcPr>
          <w:p w14:paraId="1130F8B1" w14:textId="77777777" w:rsidR="00AD2A2A" w:rsidRPr="00AD2A2A" w:rsidRDefault="00AD2A2A" w:rsidP="00AD2A2A">
            <w:pPr>
              <w:pStyle w:val="Heading2NoOutline"/>
              <w:shd w:val="clear" w:color="auto" w:fill="auto"/>
              <w:spacing w:before="0"/>
              <w:rPr>
                <w:rFonts w:cs="Arial"/>
                <w:b/>
                <w:bCs/>
                <w:color w:val="365F91" w:themeColor="accent1" w:themeShade="BF"/>
                <w:sz w:val="22"/>
                <w:szCs w:val="22"/>
              </w:rPr>
            </w:pPr>
            <w:r w:rsidRPr="00AD2A2A">
              <w:rPr>
                <w:rFonts w:cs="Arial"/>
                <w:b/>
                <w:bCs/>
                <w:color w:val="365F91" w:themeColor="accent1" w:themeShade="BF"/>
                <w:sz w:val="22"/>
                <w:szCs w:val="22"/>
              </w:rPr>
              <w:t>Revision Description</w:t>
            </w:r>
          </w:p>
        </w:tc>
        <w:tc>
          <w:tcPr>
            <w:tcW w:w="2835" w:type="dxa"/>
            <w:shd w:val="clear" w:color="auto" w:fill="F2F2F2" w:themeFill="background1" w:themeFillShade="F2"/>
          </w:tcPr>
          <w:p w14:paraId="1EC152E7" w14:textId="77777777" w:rsidR="00AD2A2A" w:rsidRPr="00AD2A2A" w:rsidRDefault="00AD2A2A" w:rsidP="00AD2A2A">
            <w:pPr>
              <w:pStyle w:val="Heading2NoOutline"/>
              <w:shd w:val="clear" w:color="auto" w:fill="auto"/>
              <w:spacing w:before="0"/>
              <w:rPr>
                <w:rFonts w:cs="Arial"/>
                <w:b/>
                <w:bCs/>
                <w:color w:val="365F91" w:themeColor="accent1" w:themeShade="BF"/>
                <w:sz w:val="22"/>
                <w:szCs w:val="22"/>
              </w:rPr>
            </w:pPr>
            <w:r w:rsidRPr="00AD2A2A">
              <w:rPr>
                <w:rFonts w:cs="Arial"/>
                <w:b/>
                <w:bCs/>
                <w:color w:val="365F91" w:themeColor="accent1" w:themeShade="BF"/>
                <w:sz w:val="22"/>
                <w:szCs w:val="22"/>
              </w:rPr>
              <w:t>Reviewer / Approval Group</w:t>
            </w:r>
          </w:p>
        </w:tc>
        <w:tc>
          <w:tcPr>
            <w:tcW w:w="1985" w:type="dxa"/>
            <w:shd w:val="clear" w:color="auto" w:fill="F2F2F2" w:themeFill="background1" w:themeFillShade="F2"/>
          </w:tcPr>
          <w:p w14:paraId="79962F06" w14:textId="77777777" w:rsidR="00AD2A2A" w:rsidRPr="00AD2A2A" w:rsidRDefault="00AD2A2A" w:rsidP="00AD2A2A">
            <w:pPr>
              <w:pStyle w:val="Heading2NoOutline"/>
              <w:shd w:val="clear" w:color="auto" w:fill="auto"/>
              <w:spacing w:before="0"/>
              <w:rPr>
                <w:rFonts w:cs="Arial"/>
                <w:b/>
                <w:bCs/>
                <w:color w:val="365F91" w:themeColor="accent1" w:themeShade="BF"/>
                <w:sz w:val="22"/>
                <w:szCs w:val="22"/>
              </w:rPr>
            </w:pPr>
            <w:r w:rsidRPr="00AD2A2A">
              <w:rPr>
                <w:rFonts w:cs="Arial"/>
                <w:b/>
                <w:bCs/>
                <w:color w:val="365F91" w:themeColor="accent1" w:themeShade="BF"/>
                <w:sz w:val="22"/>
                <w:szCs w:val="22"/>
              </w:rPr>
              <w:t xml:space="preserve">Date of Review / Approval </w:t>
            </w:r>
          </w:p>
        </w:tc>
      </w:tr>
      <w:tr w:rsidR="0043648C" w:rsidRPr="00AD2A2A" w14:paraId="30736D94" w14:textId="77777777" w:rsidTr="00165C21">
        <w:tc>
          <w:tcPr>
            <w:tcW w:w="1134" w:type="dxa"/>
          </w:tcPr>
          <w:p w14:paraId="6454FF87" w14:textId="77777777" w:rsidR="0043648C" w:rsidRPr="00AD2A2A" w:rsidRDefault="0043648C" w:rsidP="0043648C">
            <w:pPr>
              <w:spacing w:before="60" w:after="60"/>
              <w:rPr>
                <w:rFonts w:ascii="Arial" w:hAnsi="Arial" w:cs="Arial"/>
              </w:rPr>
            </w:pPr>
            <w:r w:rsidRPr="00AD2A2A">
              <w:rPr>
                <w:rFonts w:ascii="Arial" w:hAnsi="Arial" w:cs="Arial"/>
              </w:rPr>
              <w:t>0.1</w:t>
            </w:r>
          </w:p>
        </w:tc>
        <w:tc>
          <w:tcPr>
            <w:tcW w:w="2864" w:type="dxa"/>
          </w:tcPr>
          <w:p w14:paraId="2B9B1F5B" w14:textId="7731C734" w:rsidR="0043648C" w:rsidRDefault="0043648C" w:rsidP="0043648C">
            <w:pPr>
              <w:spacing w:before="60" w:after="60"/>
              <w:rPr>
                <w:rFonts w:ascii="Arial" w:hAnsi="Arial" w:cs="Arial"/>
              </w:rPr>
            </w:pPr>
            <w:r w:rsidRPr="00AD2A2A">
              <w:rPr>
                <w:rFonts w:ascii="Arial" w:hAnsi="Arial" w:cs="Arial"/>
              </w:rPr>
              <w:t xml:space="preserve">Draft </w:t>
            </w:r>
            <w:r>
              <w:rPr>
                <w:rFonts w:ascii="Arial" w:hAnsi="Arial" w:cs="Arial"/>
              </w:rPr>
              <w:t>– to replace ‘</w:t>
            </w:r>
            <w:r w:rsidRPr="0067579E">
              <w:rPr>
                <w:rFonts w:ascii="Arial" w:hAnsi="Arial" w:cs="Arial"/>
              </w:rPr>
              <w:t>Management of Serious Incidents Policy</w:t>
            </w:r>
            <w:r>
              <w:rPr>
                <w:rFonts w:ascii="Arial" w:hAnsi="Arial" w:cs="Arial"/>
              </w:rPr>
              <w:t>’.</w:t>
            </w:r>
          </w:p>
          <w:p w14:paraId="2BDBC1B3" w14:textId="7677F9AB" w:rsidR="0043648C" w:rsidRPr="00AD2A2A" w:rsidRDefault="0043648C" w:rsidP="0043648C">
            <w:pPr>
              <w:spacing w:before="60" w:after="60"/>
              <w:rPr>
                <w:rFonts w:ascii="Arial" w:hAnsi="Arial" w:cs="Arial"/>
              </w:rPr>
            </w:pPr>
            <w:r w:rsidRPr="00AD2A2A">
              <w:rPr>
                <w:rFonts w:ascii="Arial" w:hAnsi="Arial" w:cs="Arial"/>
              </w:rPr>
              <w:t xml:space="preserve"> </w:t>
            </w:r>
          </w:p>
        </w:tc>
        <w:tc>
          <w:tcPr>
            <w:tcW w:w="2835" w:type="dxa"/>
          </w:tcPr>
          <w:p w14:paraId="28A2B9D5" w14:textId="01223180" w:rsidR="0043648C" w:rsidRPr="00AD2A2A" w:rsidRDefault="0043648C" w:rsidP="0043648C">
            <w:pPr>
              <w:spacing w:before="60" w:after="60"/>
              <w:rPr>
                <w:rFonts w:ascii="Arial" w:hAnsi="Arial" w:cs="Arial"/>
              </w:rPr>
            </w:pPr>
            <w:r>
              <w:rPr>
                <w:rFonts w:ascii="Arial" w:hAnsi="Arial" w:cs="Arial"/>
              </w:rPr>
              <w:t>Quality Committee recommended approval to the Executive Team</w:t>
            </w:r>
          </w:p>
        </w:tc>
        <w:tc>
          <w:tcPr>
            <w:tcW w:w="1985" w:type="dxa"/>
          </w:tcPr>
          <w:p w14:paraId="05BFF700" w14:textId="17D1A098" w:rsidR="0043648C" w:rsidRPr="00AD2A2A" w:rsidRDefault="0043648C" w:rsidP="0043648C">
            <w:pPr>
              <w:spacing w:before="60" w:after="60"/>
              <w:rPr>
                <w:rFonts w:ascii="Arial" w:hAnsi="Arial" w:cs="Arial"/>
              </w:rPr>
            </w:pPr>
            <w:r>
              <w:rPr>
                <w:rFonts w:ascii="Arial" w:hAnsi="Arial" w:cs="Arial"/>
              </w:rPr>
              <w:t>07 September 2023</w:t>
            </w:r>
          </w:p>
        </w:tc>
      </w:tr>
      <w:tr w:rsidR="0043648C" w:rsidRPr="00AD2A2A" w14:paraId="596E788C" w14:textId="77777777" w:rsidTr="00165C21">
        <w:tc>
          <w:tcPr>
            <w:tcW w:w="1134" w:type="dxa"/>
          </w:tcPr>
          <w:p w14:paraId="18B9BA63" w14:textId="2C825EE9" w:rsidR="0043648C" w:rsidRPr="00AD2A2A" w:rsidRDefault="00165C21" w:rsidP="0043648C">
            <w:pPr>
              <w:spacing w:before="60" w:after="60"/>
              <w:rPr>
                <w:rFonts w:ascii="Arial" w:hAnsi="Arial" w:cs="Arial"/>
              </w:rPr>
            </w:pPr>
            <w:r>
              <w:rPr>
                <w:rFonts w:ascii="Arial" w:hAnsi="Arial" w:cs="Arial"/>
              </w:rPr>
              <w:t>0.2</w:t>
            </w:r>
          </w:p>
        </w:tc>
        <w:tc>
          <w:tcPr>
            <w:tcW w:w="2864" w:type="dxa"/>
          </w:tcPr>
          <w:p w14:paraId="2793FD2A" w14:textId="3C6414E3" w:rsidR="0043648C" w:rsidRDefault="0043648C" w:rsidP="0043648C">
            <w:pPr>
              <w:spacing w:before="60" w:after="60"/>
              <w:rPr>
                <w:rFonts w:ascii="Arial" w:hAnsi="Arial" w:cs="Arial"/>
              </w:rPr>
            </w:pPr>
            <w:r>
              <w:rPr>
                <w:rFonts w:ascii="Arial" w:hAnsi="Arial" w:cs="Arial"/>
              </w:rPr>
              <w:t>F</w:t>
            </w:r>
            <w:r w:rsidRPr="00425364">
              <w:rPr>
                <w:rFonts w:ascii="Arial" w:hAnsi="Arial" w:cs="Arial"/>
              </w:rPr>
              <w:t xml:space="preserve">inal draft </w:t>
            </w:r>
            <w:r w:rsidR="00650E3F">
              <w:rPr>
                <w:rFonts w:ascii="Arial" w:hAnsi="Arial" w:cs="Arial"/>
              </w:rPr>
              <w:t xml:space="preserve">shared with Executive Team for comments/approval, </w:t>
            </w:r>
            <w:r w:rsidRPr="00425364">
              <w:rPr>
                <w:rFonts w:ascii="Arial" w:hAnsi="Arial" w:cs="Arial"/>
              </w:rPr>
              <w:t>amended to include reference to the role of Health and Care Partnerships (HCPs).</w:t>
            </w:r>
          </w:p>
          <w:p w14:paraId="283019DE" w14:textId="7363EEA0" w:rsidR="0043648C" w:rsidRPr="00AD2A2A" w:rsidRDefault="0043648C" w:rsidP="0043648C">
            <w:pPr>
              <w:spacing w:before="60" w:after="60"/>
              <w:rPr>
                <w:rFonts w:ascii="Arial" w:hAnsi="Arial" w:cs="Arial"/>
              </w:rPr>
            </w:pPr>
            <w:r w:rsidRPr="00425364">
              <w:rPr>
                <w:rFonts w:ascii="Arial" w:hAnsi="Arial" w:cs="Arial"/>
              </w:rPr>
              <w:t>Updated HSIB to HSSIB following national legislative change.</w:t>
            </w:r>
          </w:p>
        </w:tc>
        <w:tc>
          <w:tcPr>
            <w:tcW w:w="2835" w:type="dxa"/>
          </w:tcPr>
          <w:p w14:paraId="1C26A08D" w14:textId="77777777" w:rsidR="0043648C" w:rsidRDefault="0043648C" w:rsidP="0043648C">
            <w:pPr>
              <w:spacing w:before="60" w:after="60"/>
              <w:rPr>
                <w:rFonts w:ascii="Arial" w:hAnsi="Arial" w:cs="Arial"/>
              </w:rPr>
            </w:pPr>
            <w:r w:rsidRPr="00425364">
              <w:rPr>
                <w:rFonts w:ascii="Arial" w:hAnsi="Arial" w:cs="Arial"/>
              </w:rPr>
              <w:t>Rosie Connolly, Deputy Director Quality Improvement and Patient Safety</w:t>
            </w:r>
          </w:p>
          <w:p w14:paraId="585D3270" w14:textId="77777777" w:rsidR="0043648C" w:rsidRPr="00425364" w:rsidRDefault="0043648C" w:rsidP="0043648C">
            <w:pPr>
              <w:spacing w:before="60" w:after="60"/>
              <w:rPr>
                <w:rFonts w:ascii="Arial" w:hAnsi="Arial" w:cs="Arial"/>
              </w:rPr>
            </w:pPr>
          </w:p>
        </w:tc>
        <w:tc>
          <w:tcPr>
            <w:tcW w:w="1985" w:type="dxa"/>
          </w:tcPr>
          <w:p w14:paraId="0A64D5E5" w14:textId="10E9F66D" w:rsidR="0043648C" w:rsidRDefault="0043648C" w:rsidP="0043648C">
            <w:pPr>
              <w:spacing w:before="60" w:after="60"/>
              <w:rPr>
                <w:rFonts w:ascii="Arial" w:hAnsi="Arial" w:cs="Arial"/>
              </w:rPr>
            </w:pPr>
            <w:r>
              <w:rPr>
                <w:rFonts w:ascii="Arial" w:hAnsi="Arial" w:cs="Arial"/>
              </w:rPr>
              <w:t>04 October 2023</w:t>
            </w:r>
          </w:p>
        </w:tc>
      </w:tr>
      <w:tr w:rsidR="0043648C" w:rsidRPr="00AD2A2A" w14:paraId="45E13CCD" w14:textId="77777777" w:rsidTr="00165C21">
        <w:tc>
          <w:tcPr>
            <w:tcW w:w="1134" w:type="dxa"/>
          </w:tcPr>
          <w:p w14:paraId="0944F04F" w14:textId="77777777" w:rsidR="0043648C" w:rsidRPr="00341382" w:rsidRDefault="0043648C" w:rsidP="0043648C">
            <w:pPr>
              <w:spacing w:before="60" w:after="60"/>
              <w:rPr>
                <w:rFonts w:ascii="Arial" w:hAnsi="Arial" w:cs="Arial"/>
                <w:b/>
                <w:bCs/>
              </w:rPr>
            </w:pPr>
            <w:r w:rsidRPr="00341382">
              <w:rPr>
                <w:rFonts w:ascii="Arial" w:hAnsi="Arial" w:cs="Arial"/>
                <w:b/>
                <w:bCs/>
              </w:rPr>
              <w:t>1.0</w:t>
            </w:r>
          </w:p>
        </w:tc>
        <w:tc>
          <w:tcPr>
            <w:tcW w:w="2864" w:type="dxa"/>
          </w:tcPr>
          <w:p w14:paraId="34C3C856" w14:textId="77777777" w:rsidR="0043648C" w:rsidRPr="00341382" w:rsidRDefault="0043648C" w:rsidP="0043648C">
            <w:pPr>
              <w:spacing w:before="60" w:after="60"/>
              <w:rPr>
                <w:rFonts w:ascii="Arial" w:hAnsi="Arial" w:cs="Arial"/>
                <w:b/>
                <w:bCs/>
              </w:rPr>
            </w:pPr>
            <w:r w:rsidRPr="00341382">
              <w:rPr>
                <w:rFonts w:ascii="Arial" w:hAnsi="Arial" w:cs="Arial"/>
                <w:b/>
                <w:bCs/>
              </w:rPr>
              <w:t>Final - Approved</w:t>
            </w:r>
          </w:p>
        </w:tc>
        <w:tc>
          <w:tcPr>
            <w:tcW w:w="2835" w:type="dxa"/>
          </w:tcPr>
          <w:p w14:paraId="55E96993" w14:textId="327FF7A9" w:rsidR="0043648C" w:rsidRPr="00341382" w:rsidRDefault="0043648C" w:rsidP="0043648C">
            <w:pPr>
              <w:spacing w:before="60" w:after="60"/>
              <w:rPr>
                <w:rFonts w:ascii="Arial" w:hAnsi="Arial" w:cs="Arial"/>
                <w:b/>
                <w:bCs/>
              </w:rPr>
            </w:pPr>
            <w:r w:rsidRPr="00341382">
              <w:rPr>
                <w:rFonts w:ascii="Arial" w:hAnsi="Arial" w:cs="Arial"/>
                <w:b/>
                <w:bCs/>
              </w:rPr>
              <w:t xml:space="preserve">Executive Team </w:t>
            </w:r>
          </w:p>
        </w:tc>
        <w:tc>
          <w:tcPr>
            <w:tcW w:w="1985" w:type="dxa"/>
          </w:tcPr>
          <w:p w14:paraId="7684208A" w14:textId="5CB6A0A2" w:rsidR="0043648C" w:rsidRPr="00341382" w:rsidRDefault="0043648C" w:rsidP="0043648C">
            <w:pPr>
              <w:spacing w:before="60" w:after="60"/>
              <w:rPr>
                <w:rFonts w:ascii="Arial" w:hAnsi="Arial" w:cs="Arial"/>
                <w:b/>
                <w:bCs/>
              </w:rPr>
            </w:pPr>
            <w:r>
              <w:rPr>
                <w:rFonts w:ascii="Arial" w:hAnsi="Arial" w:cs="Arial"/>
              </w:rPr>
              <w:t>06 October 2023</w:t>
            </w:r>
          </w:p>
        </w:tc>
      </w:tr>
      <w:tr w:rsidR="0043648C" w:rsidRPr="00AD2A2A" w14:paraId="721451E2" w14:textId="77777777" w:rsidTr="00165C21">
        <w:tc>
          <w:tcPr>
            <w:tcW w:w="1134" w:type="dxa"/>
          </w:tcPr>
          <w:p w14:paraId="6CE66940" w14:textId="77777777" w:rsidR="0043648C" w:rsidRPr="00AD2A2A" w:rsidRDefault="0043648C" w:rsidP="0043648C">
            <w:pPr>
              <w:spacing w:before="60" w:after="60"/>
              <w:rPr>
                <w:rFonts w:ascii="Arial" w:hAnsi="Arial" w:cs="Arial"/>
              </w:rPr>
            </w:pPr>
            <w:r w:rsidRPr="00AD2A2A">
              <w:rPr>
                <w:rFonts w:ascii="Arial" w:hAnsi="Arial" w:cs="Arial"/>
              </w:rPr>
              <w:t>1.1</w:t>
            </w:r>
          </w:p>
        </w:tc>
        <w:tc>
          <w:tcPr>
            <w:tcW w:w="2864" w:type="dxa"/>
          </w:tcPr>
          <w:p w14:paraId="5E60A1DA" w14:textId="5AB14B51" w:rsidR="0043648C" w:rsidRPr="00AD2A2A" w:rsidRDefault="0043648C" w:rsidP="0043648C">
            <w:pPr>
              <w:spacing w:before="60" w:after="60"/>
              <w:rPr>
                <w:rFonts w:ascii="Arial" w:hAnsi="Arial" w:cs="Arial"/>
              </w:rPr>
            </w:pPr>
            <w:r>
              <w:rPr>
                <w:rFonts w:ascii="Arial" w:hAnsi="Arial" w:cs="Arial"/>
              </w:rPr>
              <w:t xml:space="preserve">Final – </w:t>
            </w:r>
            <w:r w:rsidR="00650E3F">
              <w:rPr>
                <w:rFonts w:ascii="Arial" w:hAnsi="Arial" w:cs="Arial"/>
              </w:rPr>
              <w:t xml:space="preserve">general </w:t>
            </w:r>
            <w:r>
              <w:rPr>
                <w:rFonts w:ascii="Arial" w:hAnsi="Arial" w:cs="Arial"/>
              </w:rPr>
              <w:t xml:space="preserve">formatting </w:t>
            </w:r>
          </w:p>
        </w:tc>
        <w:tc>
          <w:tcPr>
            <w:tcW w:w="2835" w:type="dxa"/>
          </w:tcPr>
          <w:p w14:paraId="3C2E0DB9" w14:textId="59E9BA07" w:rsidR="0043648C" w:rsidRPr="00AD2A2A" w:rsidRDefault="0043648C" w:rsidP="0043648C">
            <w:pPr>
              <w:spacing w:before="60" w:after="60"/>
              <w:rPr>
                <w:rFonts w:ascii="Arial" w:hAnsi="Arial" w:cs="Arial"/>
              </w:rPr>
            </w:pPr>
            <w:r>
              <w:rPr>
                <w:rFonts w:ascii="Arial" w:hAnsi="Arial" w:cs="Arial"/>
              </w:rPr>
              <w:t>Governance Manager – Conflicts &amp; Policies</w:t>
            </w:r>
          </w:p>
        </w:tc>
        <w:tc>
          <w:tcPr>
            <w:tcW w:w="1985" w:type="dxa"/>
          </w:tcPr>
          <w:p w14:paraId="4DD150C4" w14:textId="492E2FDD" w:rsidR="0043648C" w:rsidRPr="00AD2A2A" w:rsidRDefault="0043648C" w:rsidP="0043648C">
            <w:pPr>
              <w:spacing w:before="60" w:after="60"/>
              <w:rPr>
                <w:rFonts w:ascii="Arial" w:hAnsi="Arial" w:cs="Arial"/>
              </w:rPr>
            </w:pPr>
            <w:r>
              <w:rPr>
                <w:rFonts w:ascii="Arial" w:hAnsi="Arial" w:cs="Arial"/>
              </w:rPr>
              <w:t>02 November 2023</w:t>
            </w:r>
          </w:p>
        </w:tc>
      </w:tr>
      <w:tr w:rsidR="0043648C" w:rsidRPr="00AD2A2A" w14:paraId="6C635890" w14:textId="77777777" w:rsidTr="00165C21">
        <w:tc>
          <w:tcPr>
            <w:tcW w:w="1134" w:type="dxa"/>
          </w:tcPr>
          <w:p w14:paraId="492AD839" w14:textId="77777777" w:rsidR="0043648C" w:rsidRPr="00AD2A2A" w:rsidRDefault="0043648C" w:rsidP="0043648C">
            <w:pPr>
              <w:spacing w:before="60" w:after="60"/>
              <w:rPr>
                <w:rFonts w:ascii="Arial" w:hAnsi="Arial" w:cs="Arial"/>
              </w:rPr>
            </w:pPr>
          </w:p>
        </w:tc>
        <w:tc>
          <w:tcPr>
            <w:tcW w:w="2864" w:type="dxa"/>
          </w:tcPr>
          <w:p w14:paraId="0BB5EDA2" w14:textId="77777777" w:rsidR="0043648C" w:rsidRPr="00AD2A2A" w:rsidRDefault="0043648C" w:rsidP="0043648C">
            <w:pPr>
              <w:spacing w:before="60" w:after="60"/>
              <w:rPr>
                <w:rFonts w:ascii="Arial" w:hAnsi="Arial" w:cs="Arial"/>
              </w:rPr>
            </w:pPr>
          </w:p>
        </w:tc>
        <w:tc>
          <w:tcPr>
            <w:tcW w:w="2835" w:type="dxa"/>
          </w:tcPr>
          <w:p w14:paraId="5D6A1B0B" w14:textId="77777777" w:rsidR="0043648C" w:rsidRPr="00AD2A2A" w:rsidRDefault="0043648C" w:rsidP="0043648C">
            <w:pPr>
              <w:spacing w:before="60" w:after="60"/>
              <w:rPr>
                <w:rFonts w:ascii="Arial" w:hAnsi="Arial" w:cs="Arial"/>
              </w:rPr>
            </w:pPr>
          </w:p>
        </w:tc>
        <w:tc>
          <w:tcPr>
            <w:tcW w:w="1985" w:type="dxa"/>
          </w:tcPr>
          <w:p w14:paraId="4A9C61DE" w14:textId="77777777" w:rsidR="0043648C" w:rsidRPr="00AD2A2A" w:rsidRDefault="0043648C" w:rsidP="0043648C">
            <w:pPr>
              <w:spacing w:before="60" w:after="60"/>
              <w:rPr>
                <w:rFonts w:ascii="Arial" w:hAnsi="Arial" w:cs="Arial"/>
              </w:rPr>
            </w:pPr>
          </w:p>
        </w:tc>
      </w:tr>
    </w:tbl>
    <w:p w14:paraId="3238A8A5" w14:textId="77777777" w:rsidR="00AD2A2A" w:rsidRPr="00AD2A2A" w:rsidRDefault="00AD2A2A" w:rsidP="00AD2A2A"/>
    <w:p w14:paraId="198D6DE9" w14:textId="77777777" w:rsidR="001B50AB" w:rsidRPr="00425364" w:rsidRDefault="001B50AB" w:rsidP="00383E13">
      <w:pPr>
        <w:ind w:left="-567"/>
        <w:rPr>
          <w:rFonts w:ascii="Arial" w:hAnsi="Arial" w:cs="Arial"/>
          <w:b/>
        </w:rPr>
      </w:pPr>
    </w:p>
    <w:p w14:paraId="109B3E42" w14:textId="77777777" w:rsidR="00E866B3" w:rsidRPr="00425364" w:rsidRDefault="003E4FB4" w:rsidP="00676D86">
      <w:pPr>
        <w:tabs>
          <w:tab w:val="left" w:pos="3090"/>
        </w:tabs>
        <w:spacing w:before="46"/>
        <w:ind w:left="383"/>
        <w:rPr>
          <w:rFonts w:ascii="Arial" w:hAnsi="Arial" w:cs="Arial"/>
        </w:rPr>
      </w:pPr>
      <w:r w:rsidRPr="00425364">
        <w:rPr>
          <w:rFonts w:ascii="Arial" w:hAnsi="Arial" w:cs="Arial"/>
          <w:b/>
        </w:rPr>
        <w:br w:type="page"/>
      </w:r>
    </w:p>
    <w:p w14:paraId="34F6A1DB" w14:textId="212B7613" w:rsidR="00DF58B6" w:rsidRPr="00425364" w:rsidRDefault="009E027D" w:rsidP="009E027D">
      <w:pPr>
        <w:rPr>
          <w:rFonts w:ascii="Arial" w:hAnsi="Arial" w:cs="Arial"/>
          <w:b/>
          <w:color w:val="365F91" w:themeColor="accent1" w:themeShade="BF"/>
        </w:rPr>
      </w:pPr>
      <w:r w:rsidRPr="00425364">
        <w:rPr>
          <w:rFonts w:ascii="Arial" w:hAnsi="Arial" w:cs="Arial"/>
          <w:b/>
          <w:color w:val="365F91" w:themeColor="accent1" w:themeShade="BF"/>
        </w:rPr>
        <w:lastRenderedPageBreak/>
        <w:t>C</w:t>
      </w:r>
      <w:r w:rsidR="009324CE" w:rsidRPr="00425364">
        <w:rPr>
          <w:rFonts w:ascii="Arial" w:hAnsi="Arial" w:cs="Arial"/>
          <w:b/>
          <w:color w:val="365F91" w:themeColor="accent1" w:themeShade="BF"/>
        </w:rPr>
        <w:t>ONTENT</w:t>
      </w:r>
    </w:p>
    <w:p w14:paraId="74AC2F37" w14:textId="77777777" w:rsidR="00C77BDA" w:rsidRPr="00425364" w:rsidRDefault="00C77BDA" w:rsidP="00D148DF">
      <w:pPr>
        <w:jc w:val="center"/>
        <w:rPr>
          <w:rFonts w:ascii="Arial" w:hAnsi="Arial" w:cs="Arial"/>
          <w:b/>
          <w:color w:val="365F91" w:themeColor="accent1" w:themeShade="BF"/>
        </w:rPr>
      </w:pPr>
    </w:p>
    <w:tbl>
      <w:tblPr>
        <w:tblStyle w:val="TableGrid"/>
        <w:tblW w:w="9469" w:type="dxa"/>
        <w:tblInd w:w="-147" w:type="dxa"/>
        <w:tblLook w:val="01E0" w:firstRow="1" w:lastRow="1" w:firstColumn="1" w:lastColumn="1" w:noHBand="0" w:noVBand="0"/>
      </w:tblPr>
      <w:tblGrid>
        <w:gridCol w:w="1463"/>
        <w:gridCol w:w="6752"/>
        <w:gridCol w:w="1254"/>
      </w:tblGrid>
      <w:tr w:rsidR="009E027D" w:rsidRPr="00425364" w14:paraId="69625C1F" w14:textId="77777777" w:rsidTr="007714B2">
        <w:tc>
          <w:tcPr>
            <w:tcW w:w="1463" w:type="dxa"/>
          </w:tcPr>
          <w:p w14:paraId="0C9C36F6" w14:textId="77777777" w:rsidR="00DF58B6" w:rsidRPr="00425364" w:rsidRDefault="00DF58B6" w:rsidP="004D091E">
            <w:pPr>
              <w:spacing w:before="60" w:after="60"/>
              <w:rPr>
                <w:rFonts w:ascii="Arial" w:hAnsi="Arial" w:cs="Arial"/>
                <w:b/>
                <w:color w:val="365F91" w:themeColor="accent1" w:themeShade="BF"/>
              </w:rPr>
            </w:pPr>
            <w:bookmarkStart w:id="3" w:name="_Hlk126700383"/>
            <w:r w:rsidRPr="00425364">
              <w:rPr>
                <w:rFonts w:ascii="Arial" w:hAnsi="Arial" w:cs="Arial"/>
                <w:b/>
                <w:color w:val="365F91" w:themeColor="accent1" w:themeShade="BF"/>
              </w:rPr>
              <w:t xml:space="preserve">Section </w:t>
            </w:r>
            <w:r w:rsidR="00CA0216" w:rsidRPr="00425364">
              <w:rPr>
                <w:rFonts w:ascii="Arial" w:hAnsi="Arial" w:cs="Arial"/>
                <w:b/>
                <w:color w:val="365F91" w:themeColor="accent1" w:themeShade="BF"/>
              </w:rPr>
              <w:t>No.</w:t>
            </w:r>
          </w:p>
          <w:p w14:paraId="5FF53715" w14:textId="77777777" w:rsidR="00DF58B6" w:rsidRPr="00425364" w:rsidRDefault="00DF58B6" w:rsidP="004D091E">
            <w:pPr>
              <w:spacing w:before="60" w:after="60"/>
              <w:rPr>
                <w:rFonts w:ascii="Arial" w:hAnsi="Arial" w:cs="Arial"/>
                <w:b/>
                <w:color w:val="365F91" w:themeColor="accent1" w:themeShade="BF"/>
              </w:rPr>
            </w:pPr>
          </w:p>
        </w:tc>
        <w:tc>
          <w:tcPr>
            <w:tcW w:w="6752" w:type="dxa"/>
          </w:tcPr>
          <w:p w14:paraId="5D4F17EA" w14:textId="4718F705" w:rsidR="00DF58B6" w:rsidRPr="00425364" w:rsidRDefault="00DF58B6" w:rsidP="004D091E">
            <w:pPr>
              <w:spacing w:before="60" w:after="60"/>
              <w:rPr>
                <w:rFonts w:ascii="Arial" w:hAnsi="Arial" w:cs="Arial"/>
                <w:b/>
                <w:color w:val="365F91" w:themeColor="accent1" w:themeShade="BF"/>
              </w:rPr>
            </w:pPr>
          </w:p>
        </w:tc>
        <w:tc>
          <w:tcPr>
            <w:tcW w:w="1254" w:type="dxa"/>
          </w:tcPr>
          <w:p w14:paraId="3E554C71" w14:textId="77777777" w:rsidR="00DF58B6" w:rsidRPr="00425364" w:rsidRDefault="00DF58B6" w:rsidP="004D091E">
            <w:pPr>
              <w:spacing w:before="60" w:after="60"/>
              <w:rPr>
                <w:rFonts w:ascii="Arial" w:hAnsi="Arial" w:cs="Arial"/>
                <w:b/>
                <w:color w:val="365F91" w:themeColor="accent1" w:themeShade="BF"/>
              </w:rPr>
            </w:pPr>
            <w:r w:rsidRPr="00425364">
              <w:rPr>
                <w:rFonts w:ascii="Arial" w:hAnsi="Arial" w:cs="Arial"/>
                <w:b/>
                <w:color w:val="365F91" w:themeColor="accent1" w:themeShade="BF"/>
              </w:rPr>
              <w:t>Page No.</w:t>
            </w:r>
          </w:p>
        </w:tc>
      </w:tr>
      <w:tr w:rsidR="00450A91" w:rsidRPr="00425364" w14:paraId="273DFAAB" w14:textId="77777777" w:rsidTr="007714B2">
        <w:tc>
          <w:tcPr>
            <w:tcW w:w="1463" w:type="dxa"/>
          </w:tcPr>
          <w:p w14:paraId="7D74FFA1" w14:textId="77777777" w:rsidR="00450A91" w:rsidRPr="00425364" w:rsidRDefault="00450A91" w:rsidP="00450A91">
            <w:pPr>
              <w:spacing w:before="40" w:after="40" w:line="360" w:lineRule="auto"/>
              <w:rPr>
                <w:rFonts w:ascii="Arial" w:hAnsi="Arial" w:cs="Arial"/>
                <w:b/>
                <w:bCs/>
              </w:rPr>
            </w:pPr>
            <w:r w:rsidRPr="00425364">
              <w:rPr>
                <w:rFonts w:ascii="Arial" w:hAnsi="Arial" w:cs="Arial"/>
                <w:b/>
                <w:bCs/>
              </w:rPr>
              <w:t>1.0</w:t>
            </w:r>
          </w:p>
        </w:tc>
        <w:tc>
          <w:tcPr>
            <w:tcW w:w="6752" w:type="dxa"/>
          </w:tcPr>
          <w:p w14:paraId="0C7FB2AF" w14:textId="0EA08B51" w:rsidR="00450A91" w:rsidRPr="00425364" w:rsidRDefault="00450A91" w:rsidP="00450A91">
            <w:pPr>
              <w:spacing w:before="40" w:after="40" w:line="360" w:lineRule="auto"/>
              <w:rPr>
                <w:rFonts w:ascii="Arial" w:hAnsi="Arial" w:cs="Arial"/>
                <w:bCs/>
              </w:rPr>
            </w:pPr>
            <w:r w:rsidRPr="00425364">
              <w:rPr>
                <w:rFonts w:ascii="Arial" w:hAnsi="Arial" w:cs="Arial"/>
                <w:bCs/>
              </w:rPr>
              <w:t xml:space="preserve">Introduction </w:t>
            </w:r>
          </w:p>
        </w:tc>
        <w:tc>
          <w:tcPr>
            <w:tcW w:w="1254" w:type="dxa"/>
          </w:tcPr>
          <w:p w14:paraId="19F6AC55" w14:textId="659BAD0D" w:rsidR="00450A91" w:rsidRPr="00425364" w:rsidRDefault="00B84B4B" w:rsidP="00450A91">
            <w:pPr>
              <w:spacing w:before="40" w:after="40" w:line="360" w:lineRule="auto"/>
              <w:rPr>
                <w:rFonts w:ascii="Arial" w:hAnsi="Arial" w:cs="Arial"/>
                <w:b/>
                <w:bCs/>
              </w:rPr>
            </w:pPr>
            <w:r w:rsidRPr="00425364">
              <w:rPr>
                <w:rFonts w:ascii="Arial" w:hAnsi="Arial" w:cs="Arial"/>
                <w:b/>
                <w:bCs/>
              </w:rPr>
              <w:t>4</w:t>
            </w:r>
          </w:p>
        </w:tc>
      </w:tr>
      <w:tr w:rsidR="00907E7C" w:rsidRPr="00425364" w14:paraId="464EEDD5" w14:textId="77777777" w:rsidTr="007714B2">
        <w:tc>
          <w:tcPr>
            <w:tcW w:w="1463" w:type="dxa"/>
          </w:tcPr>
          <w:p w14:paraId="01A422A5" w14:textId="503C958B" w:rsidR="00907E7C" w:rsidRPr="00425364" w:rsidRDefault="00907E7C" w:rsidP="00450A91">
            <w:pPr>
              <w:spacing w:before="40" w:after="40" w:line="360" w:lineRule="auto"/>
              <w:rPr>
                <w:rFonts w:ascii="Arial" w:hAnsi="Arial" w:cs="Arial"/>
                <w:b/>
                <w:bCs/>
              </w:rPr>
            </w:pPr>
            <w:r w:rsidRPr="00425364">
              <w:rPr>
                <w:rFonts w:ascii="Arial" w:hAnsi="Arial" w:cs="Arial"/>
                <w:b/>
                <w:bCs/>
              </w:rPr>
              <w:t>2.0</w:t>
            </w:r>
          </w:p>
        </w:tc>
        <w:tc>
          <w:tcPr>
            <w:tcW w:w="6752" w:type="dxa"/>
          </w:tcPr>
          <w:p w14:paraId="10D1D582" w14:textId="654E7538" w:rsidR="00907E7C" w:rsidRPr="00425364" w:rsidRDefault="00907E7C" w:rsidP="00450A91">
            <w:pPr>
              <w:spacing w:before="40" w:after="40" w:line="360" w:lineRule="auto"/>
              <w:rPr>
                <w:rFonts w:ascii="Arial" w:hAnsi="Arial" w:cs="Arial"/>
                <w:bCs/>
              </w:rPr>
            </w:pPr>
            <w:r w:rsidRPr="00425364">
              <w:rPr>
                <w:rFonts w:ascii="Arial" w:hAnsi="Arial" w:cs="Arial"/>
                <w:bCs/>
              </w:rPr>
              <w:t>Purpose</w:t>
            </w:r>
          </w:p>
        </w:tc>
        <w:tc>
          <w:tcPr>
            <w:tcW w:w="1254" w:type="dxa"/>
          </w:tcPr>
          <w:p w14:paraId="5CF88D3B" w14:textId="204AAD35" w:rsidR="00907E7C" w:rsidRPr="00425364" w:rsidRDefault="00B84B4B" w:rsidP="00450A91">
            <w:pPr>
              <w:spacing w:before="40" w:after="40" w:line="360" w:lineRule="auto"/>
              <w:rPr>
                <w:rFonts w:ascii="Arial" w:hAnsi="Arial" w:cs="Arial"/>
                <w:b/>
                <w:bCs/>
              </w:rPr>
            </w:pPr>
            <w:r w:rsidRPr="00425364">
              <w:rPr>
                <w:rFonts w:ascii="Arial" w:hAnsi="Arial" w:cs="Arial"/>
                <w:b/>
                <w:bCs/>
              </w:rPr>
              <w:t>4</w:t>
            </w:r>
          </w:p>
        </w:tc>
      </w:tr>
      <w:tr w:rsidR="00907E7C" w:rsidRPr="00425364" w14:paraId="34D0B55A" w14:textId="77777777" w:rsidTr="007714B2">
        <w:tc>
          <w:tcPr>
            <w:tcW w:w="1463" w:type="dxa"/>
          </w:tcPr>
          <w:p w14:paraId="6C1A6E81" w14:textId="583CBF17" w:rsidR="00907E7C" w:rsidRPr="00425364" w:rsidRDefault="00907E7C" w:rsidP="00450A91">
            <w:pPr>
              <w:spacing w:before="40" w:after="40" w:line="360" w:lineRule="auto"/>
              <w:rPr>
                <w:rFonts w:ascii="Arial" w:hAnsi="Arial" w:cs="Arial"/>
                <w:b/>
                <w:bCs/>
              </w:rPr>
            </w:pPr>
            <w:r w:rsidRPr="00425364">
              <w:rPr>
                <w:rFonts w:ascii="Arial" w:hAnsi="Arial" w:cs="Arial"/>
                <w:b/>
                <w:bCs/>
              </w:rPr>
              <w:t>3.0</w:t>
            </w:r>
          </w:p>
        </w:tc>
        <w:tc>
          <w:tcPr>
            <w:tcW w:w="6752" w:type="dxa"/>
          </w:tcPr>
          <w:p w14:paraId="4D0E345D" w14:textId="62B69630" w:rsidR="00907E7C" w:rsidRPr="00425364" w:rsidRDefault="00907E7C" w:rsidP="00450A91">
            <w:pPr>
              <w:spacing w:before="40" w:after="40" w:line="360" w:lineRule="auto"/>
              <w:rPr>
                <w:rFonts w:ascii="Arial" w:hAnsi="Arial" w:cs="Arial"/>
                <w:bCs/>
              </w:rPr>
            </w:pPr>
            <w:r w:rsidRPr="00425364">
              <w:rPr>
                <w:rFonts w:ascii="Arial" w:hAnsi="Arial" w:cs="Arial"/>
                <w:bCs/>
              </w:rPr>
              <w:t>Scope</w:t>
            </w:r>
          </w:p>
        </w:tc>
        <w:tc>
          <w:tcPr>
            <w:tcW w:w="1254" w:type="dxa"/>
          </w:tcPr>
          <w:p w14:paraId="34FBA409" w14:textId="6BE389CA" w:rsidR="00907E7C" w:rsidRPr="00425364" w:rsidRDefault="00B84B4B" w:rsidP="00450A91">
            <w:pPr>
              <w:spacing w:before="40" w:after="40" w:line="360" w:lineRule="auto"/>
              <w:rPr>
                <w:rFonts w:ascii="Arial" w:hAnsi="Arial" w:cs="Arial"/>
                <w:b/>
                <w:bCs/>
              </w:rPr>
            </w:pPr>
            <w:r w:rsidRPr="00425364">
              <w:rPr>
                <w:rFonts w:ascii="Arial" w:hAnsi="Arial" w:cs="Arial"/>
                <w:b/>
                <w:bCs/>
              </w:rPr>
              <w:t>5</w:t>
            </w:r>
          </w:p>
        </w:tc>
      </w:tr>
      <w:tr w:rsidR="00450A91" w:rsidRPr="00425364" w14:paraId="237EB942" w14:textId="77777777" w:rsidTr="007714B2">
        <w:tc>
          <w:tcPr>
            <w:tcW w:w="1463" w:type="dxa"/>
          </w:tcPr>
          <w:p w14:paraId="5FDFE540" w14:textId="23BC333A" w:rsidR="00450A91" w:rsidRPr="00425364" w:rsidRDefault="00907E7C" w:rsidP="00450A91">
            <w:pPr>
              <w:spacing w:before="40" w:after="40" w:line="360" w:lineRule="auto"/>
              <w:rPr>
                <w:rFonts w:ascii="Arial" w:hAnsi="Arial" w:cs="Arial"/>
                <w:b/>
                <w:bCs/>
              </w:rPr>
            </w:pPr>
            <w:r w:rsidRPr="00425364">
              <w:rPr>
                <w:rFonts w:ascii="Arial" w:hAnsi="Arial" w:cs="Arial"/>
                <w:b/>
                <w:bCs/>
              </w:rPr>
              <w:t>4</w:t>
            </w:r>
            <w:r w:rsidR="00450A91" w:rsidRPr="00425364">
              <w:rPr>
                <w:rFonts w:ascii="Arial" w:hAnsi="Arial" w:cs="Arial"/>
                <w:b/>
                <w:bCs/>
              </w:rPr>
              <w:t>.0</w:t>
            </w:r>
          </w:p>
        </w:tc>
        <w:tc>
          <w:tcPr>
            <w:tcW w:w="6752" w:type="dxa"/>
          </w:tcPr>
          <w:p w14:paraId="2B6AB460" w14:textId="60FB0F53" w:rsidR="00450A91" w:rsidRPr="00425364" w:rsidRDefault="00450A91" w:rsidP="00450A91">
            <w:pPr>
              <w:spacing w:before="40" w:after="40" w:line="360" w:lineRule="auto"/>
              <w:ind w:right="-130"/>
              <w:rPr>
                <w:rFonts w:ascii="Arial" w:hAnsi="Arial" w:cs="Arial"/>
                <w:bCs/>
              </w:rPr>
            </w:pPr>
            <w:r w:rsidRPr="00425364">
              <w:rPr>
                <w:rFonts w:ascii="Arial" w:hAnsi="Arial" w:cs="Arial"/>
                <w:bCs/>
              </w:rPr>
              <w:t xml:space="preserve">Roles and Responsibilities </w:t>
            </w:r>
          </w:p>
        </w:tc>
        <w:tc>
          <w:tcPr>
            <w:tcW w:w="1254" w:type="dxa"/>
          </w:tcPr>
          <w:p w14:paraId="37967E79" w14:textId="454B401A" w:rsidR="00450A91" w:rsidRPr="00425364" w:rsidRDefault="00F36657" w:rsidP="00450A91">
            <w:pPr>
              <w:spacing w:before="40" w:after="40" w:line="360" w:lineRule="auto"/>
              <w:rPr>
                <w:rFonts w:ascii="Arial" w:hAnsi="Arial" w:cs="Arial"/>
                <w:b/>
                <w:bCs/>
              </w:rPr>
            </w:pPr>
            <w:r w:rsidRPr="00425364">
              <w:rPr>
                <w:rFonts w:ascii="Arial" w:hAnsi="Arial" w:cs="Arial"/>
                <w:b/>
                <w:bCs/>
              </w:rPr>
              <w:t>7</w:t>
            </w:r>
          </w:p>
        </w:tc>
      </w:tr>
      <w:tr w:rsidR="006500BE" w:rsidRPr="00425364" w14:paraId="01AB0221" w14:textId="77777777" w:rsidTr="007714B2">
        <w:tc>
          <w:tcPr>
            <w:tcW w:w="1463" w:type="dxa"/>
          </w:tcPr>
          <w:p w14:paraId="66F70716" w14:textId="26DE158A" w:rsidR="006500BE" w:rsidRPr="00425364" w:rsidRDefault="00B84B4B" w:rsidP="00B84B4B">
            <w:pPr>
              <w:spacing w:before="40" w:after="40" w:line="360" w:lineRule="auto"/>
              <w:rPr>
                <w:rFonts w:ascii="Arial" w:hAnsi="Arial" w:cs="Arial"/>
                <w:b/>
                <w:bCs/>
              </w:rPr>
            </w:pPr>
            <w:r w:rsidRPr="00425364">
              <w:rPr>
                <w:rFonts w:ascii="Arial" w:hAnsi="Arial" w:cs="Arial"/>
                <w:b/>
                <w:bCs/>
              </w:rPr>
              <w:t>5.0</w:t>
            </w:r>
          </w:p>
        </w:tc>
        <w:tc>
          <w:tcPr>
            <w:tcW w:w="6752" w:type="dxa"/>
          </w:tcPr>
          <w:p w14:paraId="2DD7C8CF" w14:textId="5D928B6A" w:rsidR="006500BE" w:rsidRPr="00425364" w:rsidRDefault="00F36657" w:rsidP="006500BE">
            <w:pPr>
              <w:spacing w:before="40" w:after="40" w:line="360" w:lineRule="auto"/>
              <w:rPr>
                <w:rFonts w:ascii="Arial" w:hAnsi="Arial" w:cs="Arial"/>
                <w:bCs/>
              </w:rPr>
            </w:pPr>
            <w:r w:rsidRPr="00425364">
              <w:rPr>
                <w:rFonts w:ascii="Arial" w:hAnsi="Arial" w:cs="Arial"/>
                <w:bCs/>
              </w:rPr>
              <w:t>Addressing Health Inequalities</w:t>
            </w:r>
          </w:p>
        </w:tc>
        <w:tc>
          <w:tcPr>
            <w:tcW w:w="1254" w:type="dxa"/>
          </w:tcPr>
          <w:p w14:paraId="4A3F83AB" w14:textId="0F32A3E6" w:rsidR="006500BE" w:rsidRPr="00425364" w:rsidRDefault="00B84B4B" w:rsidP="006500BE">
            <w:pPr>
              <w:spacing w:before="40" w:after="40" w:line="360" w:lineRule="auto"/>
              <w:rPr>
                <w:rFonts w:ascii="Arial" w:hAnsi="Arial" w:cs="Arial"/>
                <w:b/>
                <w:bCs/>
              </w:rPr>
            </w:pPr>
            <w:r w:rsidRPr="00425364">
              <w:rPr>
                <w:rFonts w:ascii="Arial" w:hAnsi="Arial" w:cs="Arial"/>
                <w:b/>
                <w:bCs/>
              </w:rPr>
              <w:t>1</w:t>
            </w:r>
            <w:r w:rsidR="00F36657" w:rsidRPr="00425364">
              <w:rPr>
                <w:rFonts w:ascii="Arial" w:hAnsi="Arial" w:cs="Arial"/>
                <w:b/>
                <w:bCs/>
              </w:rPr>
              <w:t>1</w:t>
            </w:r>
          </w:p>
        </w:tc>
      </w:tr>
      <w:tr w:rsidR="006500BE" w:rsidRPr="00425364" w14:paraId="5D9C06C5" w14:textId="77777777" w:rsidTr="007714B2">
        <w:tc>
          <w:tcPr>
            <w:tcW w:w="1463" w:type="dxa"/>
          </w:tcPr>
          <w:p w14:paraId="187D58A6" w14:textId="599EFED7" w:rsidR="006500BE" w:rsidRPr="00425364" w:rsidRDefault="00B84B4B" w:rsidP="00B84B4B">
            <w:pPr>
              <w:spacing w:before="40" w:after="40" w:line="360" w:lineRule="auto"/>
              <w:rPr>
                <w:rFonts w:ascii="Arial" w:hAnsi="Arial" w:cs="Arial"/>
                <w:b/>
                <w:bCs/>
              </w:rPr>
            </w:pPr>
            <w:r w:rsidRPr="00425364">
              <w:rPr>
                <w:rFonts w:ascii="Arial" w:hAnsi="Arial" w:cs="Arial"/>
                <w:b/>
                <w:bCs/>
              </w:rPr>
              <w:t>6.0</w:t>
            </w:r>
          </w:p>
        </w:tc>
        <w:tc>
          <w:tcPr>
            <w:tcW w:w="6752" w:type="dxa"/>
          </w:tcPr>
          <w:p w14:paraId="1BBE95AD" w14:textId="41990FD1" w:rsidR="006500BE" w:rsidRPr="00425364" w:rsidRDefault="00F36657" w:rsidP="006500BE">
            <w:pPr>
              <w:spacing w:before="40" w:after="40" w:line="360" w:lineRule="auto"/>
              <w:rPr>
                <w:rFonts w:ascii="Arial" w:hAnsi="Arial" w:cs="Arial"/>
                <w:bCs/>
              </w:rPr>
            </w:pPr>
            <w:r w:rsidRPr="00425364">
              <w:rPr>
                <w:rFonts w:ascii="Arial" w:hAnsi="Arial" w:cs="Arial"/>
                <w:bCs/>
              </w:rPr>
              <w:t>Engaging and Involving patients, families and staff following a patient safety incident</w:t>
            </w:r>
            <w:r w:rsidR="00B84B4B" w:rsidRPr="00425364">
              <w:rPr>
                <w:rFonts w:ascii="Arial" w:hAnsi="Arial" w:cs="Arial"/>
                <w:bCs/>
              </w:rPr>
              <w:t xml:space="preserve"> </w:t>
            </w:r>
          </w:p>
        </w:tc>
        <w:tc>
          <w:tcPr>
            <w:tcW w:w="1254" w:type="dxa"/>
          </w:tcPr>
          <w:p w14:paraId="7980CF42" w14:textId="19EAF7E2" w:rsidR="006500BE" w:rsidRPr="00425364" w:rsidRDefault="00B84B4B" w:rsidP="006500BE">
            <w:pPr>
              <w:spacing w:before="40" w:after="40" w:line="360" w:lineRule="auto"/>
              <w:rPr>
                <w:rFonts w:ascii="Arial" w:hAnsi="Arial" w:cs="Arial"/>
                <w:b/>
                <w:bCs/>
              </w:rPr>
            </w:pPr>
            <w:r w:rsidRPr="00425364">
              <w:rPr>
                <w:rFonts w:ascii="Arial" w:hAnsi="Arial" w:cs="Arial"/>
                <w:b/>
                <w:bCs/>
              </w:rPr>
              <w:t>1</w:t>
            </w:r>
            <w:r w:rsidR="00E023E5">
              <w:rPr>
                <w:rFonts w:ascii="Arial" w:hAnsi="Arial" w:cs="Arial"/>
                <w:b/>
                <w:bCs/>
              </w:rPr>
              <w:t>1</w:t>
            </w:r>
          </w:p>
        </w:tc>
      </w:tr>
      <w:tr w:rsidR="00F36657" w:rsidRPr="00425364" w14:paraId="2D039B03" w14:textId="77777777" w:rsidTr="007714B2">
        <w:tc>
          <w:tcPr>
            <w:tcW w:w="1463" w:type="dxa"/>
          </w:tcPr>
          <w:p w14:paraId="5F39AAFD" w14:textId="61C7AFA5" w:rsidR="00F36657" w:rsidRPr="00425364" w:rsidRDefault="00F36657" w:rsidP="00B84B4B">
            <w:pPr>
              <w:spacing w:before="40" w:after="40" w:line="360" w:lineRule="auto"/>
              <w:rPr>
                <w:rFonts w:ascii="Arial" w:hAnsi="Arial" w:cs="Arial"/>
                <w:b/>
                <w:bCs/>
              </w:rPr>
            </w:pPr>
            <w:r w:rsidRPr="00425364">
              <w:rPr>
                <w:rFonts w:ascii="Arial" w:hAnsi="Arial" w:cs="Arial"/>
                <w:b/>
                <w:bCs/>
              </w:rPr>
              <w:t>7.0</w:t>
            </w:r>
          </w:p>
        </w:tc>
        <w:tc>
          <w:tcPr>
            <w:tcW w:w="6752" w:type="dxa"/>
          </w:tcPr>
          <w:p w14:paraId="42619F86" w14:textId="433E74A2" w:rsidR="00F36657" w:rsidRPr="00425364" w:rsidRDefault="00F36657" w:rsidP="006500BE">
            <w:pPr>
              <w:spacing w:before="40" w:after="40" w:line="360" w:lineRule="auto"/>
              <w:rPr>
                <w:rFonts w:ascii="Arial" w:hAnsi="Arial" w:cs="Arial"/>
                <w:bCs/>
              </w:rPr>
            </w:pPr>
            <w:r w:rsidRPr="00425364">
              <w:rPr>
                <w:rFonts w:ascii="Arial" w:hAnsi="Arial" w:cs="Arial"/>
                <w:bCs/>
              </w:rPr>
              <w:t>Provider patient safety incident response policies and plans</w:t>
            </w:r>
          </w:p>
        </w:tc>
        <w:tc>
          <w:tcPr>
            <w:tcW w:w="1254" w:type="dxa"/>
          </w:tcPr>
          <w:p w14:paraId="3631BBEF" w14:textId="213A6BA4" w:rsidR="00F36657" w:rsidRPr="00425364" w:rsidRDefault="00F36657" w:rsidP="006500BE">
            <w:pPr>
              <w:spacing w:before="40" w:after="40" w:line="360" w:lineRule="auto"/>
              <w:rPr>
                <w:rFonts w:ascii="Arial" w:hAnsi="Arial" w:cs="Arial"/>
                <w:b/>
                <w:bCs/>
              </w:rPr>
            </w:pPr>
            <w:r w:rsidRPr="00425364">
              <w:rPr>
                <w:rFonts w:ascii="Arial" w:hAnsi="Arial" w:cs="Arial"/>
                <w:b/>
                <w:bCs/>
              </w:rPr>
              <w:t>12</w:t>
            </w:r>
          </w:p>
        </w:tc>
      </w:tr>
      <w:tr w:rsidR="00F36657" w:rsidRPr="00425364" w14:paraId="5C7A2D3A" w14:textId="77777777" w:rsidTr="007714B2">
        <w:tc>
          <w:tcPr>
            <w:tcW w:w="1463" w:type="dxa"/>
          </w:tcPr>
          <w:p w14:paraId="7464CFD0" w14:textId="5EA6DE7C" w:rsidR="00F36657" w:rsidRPr="00425364" w:rsidRDefault="00F36657" w:rsidP="00B84B4B">
            <w:pPr>
              <w:spacing w:before="40" w:after="40" w:line="360" w:lineRule="auto"/>
              <w:rPr>
                <w:rFonts w:ascii="Arial" w:hAnsi="Arial" w:cs="Arial"/>
                <w:b/>
                <w:bCs/>
              </w:rPr>
            </w:pPr>
            <w:r w:rsidRPr="00425364">
              <w:rPr>
                <w:rFonts w:ascii="Arial" w:hAnsi="Arial" w:cs="Arial"/>
                <w:b/>
                <w:bCs/>
              </w:rPr>
              <w:t>8.0</w:t>
            </w:r>
          </w:p>
        </w:tc>
        <w:tc>
          <w:tcPr>
            <w:tcW w:w="6752" w:type="dxa"/>
          </w:tcPr>
          <w:p w14:paraId="5A8549B5" w14:textId="2B118A32" w:rsidR="00F36657" w:rsidRPr="00425364" w:rsidRDefault="00F36657" w:rsidP="006500BE">
            <w:pPr>
              <w:spacing w:before="40" w:after="40" w:line="360" w:lineRule="auto"/>
              <w:rPr>
                <w:rFonts w:ascii="Arial" w:hAnsi="Arial" w:cs="Arial"/>
                <w:bCs/>
              </w:rPr>
            </w:pPr>
            <w:r w:rsidRPr="00425364">
              <w:rPr>
                <w:rFonts w:ascii="Arial" w:hAnsi="Arial" w:cs="Arial"/>
                <w:bCs/>
              </w:rPr>
              <w:t>Approval of provider patient safety incident response policies and plans</w:t>
            </w:r>
          </w:p>
        </w:tc>
        <w:tc>
          <w:tcPr>
            <w:tcW w:w="1254" w:type="dxa"/>
          </w:tcPr>
          <w:p w14:paraId="46699B5E" w14:textId="10DAAC67" w:rsidR="00F36657" w:rsidRPr="00425364" w:rsidRDefault="00F36657" w:rsidP="006500BE">
            <w:pPr>
              <w:spacing w:before="40" w:after="40" w:line="360" w:lineRule="auto"/>
              <w:rPr>
                <w:rFonts w:ascii="Arial" w:hAnsi="Arial" w:cs="Arial"/>
                <w:b/>
                <w:bCs/>
              </w:rPr>
            </w:pPr>
            <w:r w:rsidRPr="00425364">
              <w:rPr>
                <w:rFonts w:ascii="Arial" w:hAnsi="Arial" w:cs="Arial"/>
                <w:b/>
                <w:bCs/>
              </w:rPr>
              <w:t>13</w:t>
            </w:r>
          </w:p>
        </w:tc>
      </w:tr>
      <w:tr w:rsidR="009324CE" w:rsidRPr="00425364" w14:paraId="6917C764" w14:textId="77777777" w:rsidTr="007714B2">
        <w:tc>
          <w:tcPr>
            <w:tcW w:w="1463" w:type="dxa"/>
          </w:tcPr>
          <w:p w14:paraId="3B4B4425" w14:textId="439C2448" w:rsidR="009324CE" w:rsidRPr="00425364" w:rsidRDefault="00F36657" w:rsidP="00B84B4B">
            <w:pPr>
              <w:spacing w:before="40" w:after="40" w:line="360" w:lineRule="auto"/>
              <w:rPr>
                <w:rFonts w:ascii="Arial" w:hAnsi="Arial" w:cs="Arial"/>
                <w:b/>
                <w:bCs/>
              </w:rPr>
            </w:pPr>
            <w:r w:rsidRPr="00425364">
              <w:rPr>
                <w:rFonts w:ascii="Arial" w:hAnsi="Arial" w:cs="Arial"/>
                <w:b/>
                <w:bCs/>
              </w:rPr>
              <w:t>9.0</w:t>
            </w:r>
          </w:p>
        </w:tc>
        <w:tc>
          <w:tcPr>
            <w:tcW w:w="6752" w:type="dxa"/>
          </w:tcPr>
          <w:p w14:paraId="51822232" w14:textId="734CF7FE" w:rsidR="009324CE" w:rsidRPr="00425364" w:rsidRDefault="00F36657" w:rsidP="00CA0216">
            <w:pPr>
              <w:spacing w:before="40" w:after="40" w:line="360" w:lineRule="auto"/>
              <w:rPr>
                <w:rFonts w:ascii="Arial" w:hAnsi="Arial" w:cs="Arial"/>
                <w:bCs/>
              </w:rPr>
            </w:pPr>
            <w:r w:rsidRPr="00425364">
              <w:rPr>
                <w:rFonts w:ascii="Arial" w:hAnsi="Arial" w:cs="Arial"/>
                <w:bCs/>
              </w:rPr>
              <w:t>Cross System Investigations</w:t>
            </w:r>
          </w:p>
        </w:tc>
        <w:tc>
          <w:tcPr>
            <w:tcW w:w="1254" w:type="dxa"/>
          </w:tcPr>
          <w:p w14:paraId="0866C171" w14:textId="012267A8" w:rsidR="009324CE" w:rsidRPr="00425364" w:rsidRDefault="00B84B4B" w:rsidP="00CA0216">
            <w:pPr>
              <w:spacing w:before="40" w:after="40" w:line="360" w:lineRule="auto"/>
              <w:rPr>
                <w:rFonts w:ascii="Arial" w:hAnsi="Arial" w:cs="Arial"/>
                <w:b/>
                <w:bCs/>
              </w:rPr>
            </w:pPr>
            <w:r w:rsidRPr="00425364">
              <w:rPr>
                <w:rFonts w:ascii="Arial" w:hAnsi="Arial" w:cs="Arial"/>
                <w:b/>
                <w:bCs/>
              </w:rPr>
              <w:t>1</w:t>
            </w:r>
            <w:r w:rsidR="00E023E5">
              <w:rPr>
                <w:rFonts w:ascii="Arial" w:hAnsi="Arial" w:cs="Arial"/>
                <w:b/>
                <w:bCs/>
              </w:rPr>
              <w:t>3</w:t>
            </w:r>
          </w:p>
        </w:tc>
      </w:tr>
      <w:tr w:rsidR="00595D7C" w:rsidRPr="00425364" w14:paraId="281614D5" w14:textId="77777777" w:rsidTr="007714B2">
        <w:tc>
          <w:tcPr>
            <w:tcW w:w="1463" w:type="dxa"/>
          </w:tcPr>
          <w:p w14:paraId="250F6917" w14:textId="2709D9BE" w:rsidR="00595D7C" w:rsidRPr="00425364" w:rsidRDefault="00F36657" w:rsidP="00B84B4B">
            <w:pPr>
              <w:spacing w:before="40" w:after="40" w:line="360" w:lineRule="auto"/>
              <w:rPr>
                <w:rFonts w:ascii="Arial" w:hAnsi="Arial" w:cs="Arial"/>
                <w:b/>
                <w:bCs/>
              </w:rPr>
            </w:pPr>
            <w:r w:rsidRPr="00425364">
              <w:rPr>
                <w:rFonts w:ascii="Arial" w:hAnsi="Arial" w:cs="Arial"/>
                <w:b/>
                <w:bCs/>
              </w:rPr>
              <w:t>10</w:t>
            </w:r>
            <w:r w:rsidR="00595D7C" w:rsidRPr="00425364">
              <w:rPr>
                <w:rFonts w:ascii="Arial" w:hAnsi="Arial" w:cs="Arial"/>
                <w:b/>
                <w:bCs/>
              </w:rPr>
              <w:t>.0</w:t>
            </w:r>
          </w:p>
        </w:tc>
        <w:tc>
          <w:tcPr>
            <w:tcW w:w="6752" w:type="dxa"/>
          </w:tcPr>
          <w:p w14:paraId="5B3F692D" w14:textId="321F719E" w:rsidR="00595D7C" w:rsidRPr="00425364" w:rsidRDefault="00F36657" w:rsidP="00CA0216">
            <w:pPr>
              <w:spacing w:before="40" w:after="40" w:line="360" w:lineRule="auto"/>
              <w:rPr>
                <w:rFonts w:ascii="Arial" w:hAnsi="Arial" w:cs="Arial"/>
                <w:bCs/>
              </w:rPr>
            </w:pPr>
            <w:r w:rsidRPr="00425364">
              <w:rPr>
                <w:rFonts w:ascii="Arial" w:hAnsi="Arial" w:cs="Arial"/>
                <w:bCs/>
              </w:rPr>
              <w:t>Patient Safety Training</w:t>
            </w:r>
            <w:r w:rsidR="00595D7C" w:rsidRPr="00425364">
              <w:rPr>
                <w:rFonts w:ascii="Arial" w:hAnsi="Arial" w:cs="Arial"/>
                <w:bCs/>
              </w:rPr>
              <w:t xml:space="preserve"> </w:t>
            </w:r>
          </w:p>
        </w:tc>
        <w:tc>
          <w:tcPr>
            <w:tcW w:w="1254" w:type="dxa"/>
          </w:tcPr>
          <w:p w14:paraId="2AB2CAAD" w14:textId="379E4984" w:rsidR="00595D7C" w:rsidRPr="00425364" w:rsidRDefault="00595D7C" w:rsidP="00CA0216">
            <w:pPr>
              <w:spacing w:before="40" w:after="40" w:line="360" w:lineRule="auto"/>
              <w:rPr>
                <w:rFonts w:ascii="Arial" w:hAnsi="Arial" w:cs="Arial"/>
                <w:b/>
                <w:bCs/>
              </w:rPr>
            </w:pPr>
            <w:r w:rsidRPr="00425364">
              <w:rPr>
                <w:rFonts w:ascii="Arial" w:hAnsi="Arial" w:cs="Arial"/>
                <w:b/>
                <w:bCs/>
              </w:rPr>
              <w:t>1</w:t>
            </w:r>
            <w:r w:rsidR="00E023E5">
              <w:rPr>
                <w:rFonts w:ascii="Arial" w:hAnsi="Arial" w:cs="Arial"/>
                <w:b/>
                <w:bCs/>
              </w:rPr>
              <w:t>4</w:t>
            </w:r>
          </w:p>
        </w:tc>
      </w:tr>
      <w:tr w:rsidR="00595D7C" w:rsidRPr="00425364" w14:paraId="6CB6D672" w14:textId="77777777" w:rsidTr="007714B2">
        <w:tc>
          <w:tcPr>
            <w:tcW w:w="1463" w:type="dxa"/>
          </w:tcPr>
          <w:p w14:paraId="26AB2EA3" w14:textId="4AF88A9E" w:rsidR="00595D7C" w:rsidRPr="00425364" w:rsidRDefault="00F36657" w:rsidP="00B84B4B">
            <w:pPr>
              <w:spacing w:before="40" w:after="40" w:line="360" w:lineRule="auto"/>
              <w:rPr>
                <w:rFonts w:ascii="Arial" w:hAnsi="Arial" w:cs="Arial"/>
                <w:b/>
                <w:bCs/>
              </w:rPr>
            </w:pPr>
            <w:r w:rsidRPr="00425364">
              <w:rPr>
                <w:rFonts w:ascii="Arial" w:hAnsi="Arial" w:cs="Arial"/>
                <w:b/>
                <w:bCs/>
              </w:rPr>
              <w:t>11</w:t>
            </w:r>
            <w:r w:rsidR="00595D7C" w:rsidRPr="00425364">
              <w:rPr>
                <w:rFonts w:ascii="Arial" w:hAnsi="Arial" w:cs="Arial"/>
                <w:b/>
                <w:bCs/>
              </w:rPr>
              <w:t>.0</w:t>
            </w:r>
          </w:p>
        </w:tc>
        <w:tc>
          <w:tcPr>
            <w:tcW w:w="6752" w:type="dxa"/>
          </w:tcPr>
          <w:p w14:paraId="1028E1EF" w14:textId="1EF8DAC6" w:rsidR="00595D7C" w:rsidRPr="00425364" w:rsidRDefault="00F36657" w:rsidP="00CA0216">
            <w:pPr>
              <w:spacing w:before="40" w:after="40" w:line="360" w:lineRule="auto"/>
              <w:rPr>
                <w:rFonts w:ascii="Arial" w:hAnsi="Arial" w:cs="Arial"/>
                <w:bCs/>
              </w:rPr>
            </w:pPr>
            <w:r w:rsidRPr="00425364">
              <w:rPr>
                <w:rFonts w:ascii="Arial" w:hAnsi="Arial" w:cs="Arial"/>
                <w:bCs/>
              </w:rPr>
              <w:t>Complaints and appeals</w:t>
            </w:r>
            <w:r w:rsidR="00595D7C" w:rsidRPr="00425364">
              <w:rPr>
                <w:rFonts w:ascii="Arial" w:hAnsi="Arial" w:cs="Arial"/>
                <w:bCs/>
              </w:rPr>
              <w:t xml:space="preserve"> </w:t>
            </w:r>
          </w:p>
        </w:tc>
        <w:tc>
          <w:tcPr>
            <w:tcW w:w="1254" w:type="dxa"/>
          </w:tcPr>
          <w:p w14:paraId="0B704294" w14:textId="4B72C2D1" w:rsidR="00595D7C" w:rsidRPr="00425364" w:rsidRDefault="00595D7C" w:rsidP="00CA0216">
            <w:pPr>
              <w:spacing w:before="40" w:after="40" w:line="360" w:lineRule="auto"/>
              <w:rPr>
                <w:rFonts w:ascii="Arial" w:hAnsi="Arial" w:cs="Arial"/>
                <w:b/>
                <w:bCs/>
              </w:rPr>
            </w:pPr>
            <w:r w:rsidRPr="00425364">
              <w:rPr>
                <w:rFonts w:ascii="Arial" w:hAnsi="Arial" w:cs="Arial"/>
                <w:b/>
                <w:bCs/>
              </w:rPr>
              <w:t>1</w:t>
            </w:r>
            <w:r w:rsidR="00E023E5">
              <w:rPr>
                <w:rFonts w:ascii="Arial" w:hAnsi="Arial" w:cs="Arial"/>
                <w:b/>
                <w:bCs/>
              </w:rPr>
              <w:t>5</w:t>
            </w:r>
          </w:p>
        </w:tc>
      </w:tr>
      <w:tr w:rsidR="00F36657" w:rsidRPr="00425364" w14:paraId="7B3E7F84" w14:textId="77777777" w:rsidTr="007714B2">
        <w:trPr>
          <w:trHeight w:val="345"/>
        </w:trPr>
        <w:tc>
          <w:tcPr>
            <w:tcW w:w="1463" w:type="dxa"/>
            <w:vMerge w:val="restart"/>
          </w:tcPr>
          <w:p w14:paraId="45BC8DB5" w14:textId="3A58E8A1" w:rsidR="00F36657" w:rsidRPr="00425364" w:rsidRDefault="00F36657" w:rsidP="00CA0216">
            <w:pPr>
              <w:spacing w:before="40" w:after="40" w:line="360" w:lineRule="auto"/>
              <w:rPr>
                <w:rFonts w:ascii="Arial" w:hAnsi="Arial" w:cs="Arial"/>
                <w:b/>
                <w:bCs/>
              </w:rPr>
            </w:pPr>
            <w:r w:rsidRPr="00425364">
              <w:rPr>
                <w:rFonts w:ascii="Arial" w:hAnsi="Arial" w:cs="Arial"/>
                <w:b/>
                <w:bCs/>
              </w:rPr>
              <w:t>Appendices</w:t>
            </w:r>
          </w:p>
        </w:tc>
        <w:tc>
          <w:tcPr>
            <w:tcW w:w="6752" w:type="dxa"/>
          </w:tcPr>
          <w:p w14:paraId="6D951FEF" w14:textId="4F453F91" w:rsidR="00F36657" w:rsidRPr="00425364" w:rsidRDefault="00F36657" w:rsidP="00CA0216">
            <w:pPr>
              <w:spacing w:before="40" w:after="40" w:line="360" w:lineRule="auto"/>
              <w:rPr>
                <w:rFonts w:ascii="Arial" w:hAnsi="Arial" w:cs="Arial"/>
                <w:bCs/>
              </w:rPr>
            </w:pPr>
            <w:r w:rsidRPr="00425364">
              <w:rPr>
                <w:rFonts w:ascii="Arial" w:hAnsi="Arial" w:cs="Arial"/>
                <w:bCs/>
              </w:rPr>
              <w:t xml:space="preserve">Appendix 1 Organisational Responsibilities </w:t>
            </w:r>
          </w:p>
        </w:tc>
        <w:tc>
          <w:tcPr>
            <w:tcW w:w="1254" w:type="dxa"/>
          </w:tcPr>
          <w:p w14:paraId="0CF70319" w14:textId="1CCC3133" w:rsidR="00F36657" w:rsidRPr="00425364" w:rsidRDefault="00F36657" w:rsidP="00CA0216">
            <w:pPr>
              <w:spacing w:before="40" w:after="40" w:line="360" w:lineRule="auto"/>
              <w:rPr>
                <w:rFonts w:ascii="Arial" w:hAnsi="Arial" w:cs="Arial"/>
                <w:b/>
                <w:bCs/>
              </w:rPr>
            </w:pPr>
            <w:r w:rsidRPr="00425364">
              <w:rPr>
                <w:rFonts w:ascii="Arial" w:hAnsi="Arial" w:cs="Arial"/>
                <w:b/>
                <w:bCs/>
              </w:rPr>
              <w:t>17</w:t>
            </w:r>
          </w:p>
        </w:tc>
      </w:tr>
      <w:tr w:rsidR="00F36657" w:rsidRPr="00425364" w14:paraId="50EA6A26" w14:textId="77777777" w:rsidTr="007714B2">
        <w:tc>
          <w:tcPr>
            <w:tcW w:w="1463" w:type="dxa"/>
            <w:vMerge/>
          </w:tcPr>
          <w:p w14:paraId="27AED5F4" w14:textId="5BDC2C6F" w:rsidR="00F36657" w:rsidRPr="00425364" w:rsidRDefault="00F36657" w:rsidP="00CA0216">
            <w:pPr>
              <w:spacing w:before="40" w:after="40" w:line="360" w:lineRule="auto"/>
              <w:rPr>
                <w:rFonts w:ascii="Arial" w:hAnsi="Arial" w:cs="Arial"/>
                <w:b/>
                <w:bCs/>
              </w:rPr>
            </w:pPr>
          </w:p>
        </w:tc>
        <w:tc>
          <w:tcPr>
            <w:tcW w:w="6752" w:type="dxa"/>
          </w:tcPr>
          <w:p w14:paraId="7952B3CD" w14:textId="4E9EF6F6" w:rsidR="00F36657" w:rsidRPr="00425364" w:rsidRDefault="00F36657" w:rsidP="00CA0216">
            <w:pPr>
              <w:spacing w:before="40" w:after="40" w:line="360" w:lineRule="auto"/>
              <w:rPr>
                <w:rFonts w:ascii="Arial" w:hAnsi="Arial" w:cs="Arial"/>
                <w:bCs/>
              </w:rPr>
            </w:pPr>
            <w:r w:rsidRPr="00425364">
              <w:rPr>
                <w:rFonts w:ascii="Arial" w:hAnsi="Arial" w:cs="Arial"/>
                <w:bCs/>
              </w:rPr>
              <w:t xml:space="preserve">Appendix 2 PSIRF Competencies </w:t>
            </w:r>
          </w:p>
        </w:tc>
        <w:tc>
          <w:tcPr>
            <w:tcW w:w="1254" w:type="dxa"/>
          </w:tcPr>
          <w:p w14:paraId="74C8A838" w14:textId="464E2E18" w:rsidR="00F36657" w:rsidRPr="00425364" w:rsidRDefault="00F36657" w:rsidP="00CA0216">
            <w:pPr>
              <w:spacing w:before="40" w:after="40" w:line="360" w:lineRule="auto"/>
              <w:rPr>
                <w:rFonts w:ascii="Arial" w:hAnsi="Arial" w:cs="Arial"/>
                <w:b/>
                <w:bCs/>
              </w:rPr>
            </w:pPr>
            <w:r w:rsidRPr="00425364">
              <w:rPr>
                <w:rFonts w:ascii="Arial" w:hAnsi="Arial" w:cs="Arial"/>
                <w:b/>
                <w:bCs/>
              </w:rPr>
              <w:t>18</w:t>
            </w:r>
          </w:p>
        </w:tc>
      </w:tr>
      <w:tr w:rsidR="00F36657" w:rsidRPr="00425364" w14:paraId="0D2E1BDE" w14:textId="77777777" w:rsidTr="007714B2">
        <w:tc>
          <w:tcPr>
            <w:tcW w:w="1463" w:type="dxa"/>
            <w:vMerge/>
          </w:tcPr>
          <w:p w14:paraId="3B19BCFA" w14:textId="576E9F34" w:rsidR="00F36657" w:rsidRPr="00425364" w:rsidRDefault="00F36657" w:rsidP="00CA0216">
            <w:pPr>
              <w:spacing w:before="40" w:after="40" w:line="360" w:lineRule="auto"/>
              <w:rPr>
                <w:rFonts w:ascii="Arial" w:hAnsi="Arial" w:cs="Arial"/>
                <w:b/>
                <w:bCs/>
              </w:rPr>
            </w:pPr>
          </w:p>
        </w:tc>
        <w:tc>
          <w:tcPr>
            <w:tcW w:w="6752" w:type="dxa"/>
          </w:tcPr>
          <w:p w14:paraId="65739FE1" w14:textId="080287A9" w:rsidR="00F36657" w:rsidRPr="00425364" w:rsidRDefault="00F36657" w:rsidP="00CA0216">
            <w:pPr>
              <w:spacing w:before="40" w:after="40" w:line="360" w:lineRule="auto"/>
              <w:rPr>
                <w:rFonts w:ascii="Arial" w:hAnsi="Arial" w:cs="Arial"/>
                <w:bCs/>
              </w:rPr>
            </w:pPr>
            <w:r w:rsidRPr="00425364">
              <w:rPr>
                <w:rFonts w:ascii="Arial" w:hAnsi="Arial" w:cs="Arial"/>
                <w:bCs/>
              </w:rPr>
              <w:t xml:space="preserve">Appendix 3 ICB Provider Sign Off Process </w:t>
            </w:r>
          </w:p>
        </w:tc>
        <w:tc>
          <w:tcPr>
            <w:tcW w:w="1254" w:type="dxa"/>
          </w:tcPr>
          <w:p w14:paraId="1FC96B82" w14:textId="561DB1B9" w:rsidR="00F36657" w:rsidRPr="00425364" w:rsidRDefault="00E023E5" w:rsidP="00CA0216">
            <w:pPr>
              <w:spacing w:before="40" w:after="40" w:line="360" w:lineRule="auto"/>
              <w:rPr>
                <w:rFonts w:ascii="Arial" w:hAnsi="Arial" w:cs="Arial"/>
                <w:b/>
                <w:bCs/>
              </w:rPr>
            </w:pPr>
            <w:r>
              <w:rPr>
                <w:rFonts w:ascii="Arial" w:hAnsi="Arial" w:cs="Arial"/>
                <w:b/>
                <w:bCs/>
              </w:rPr>
              <w:t>19</w:t>
            </w:r>
          </w:p>
        </w:tc>
      </w:tr>
      <w:tr w:rsidR="00F36657" w:rsidRPr="00425364" w14:paraId="0956A623" w14:textId="77777777" w:rsidTr="007714B2">
        <w:tc>
          <w:tcPr>
            <w:tcW w:w="1463" w:type="dxa"/>
            <w:vMerge/>
          </w:tcPr>
          <w:p w14:paraId="1DBE1ACD" w14:textId="77777777" w:rsidR="00F36657" w:rsidRPr="00425364" w:rsidRDefault="00F36657" w:rsidP="00CA0216">
            <w:pPr>
              <w:spacing w:before="40" w:after="40" w:line="360" w:lineRule="auto"/>
              <w:rPr>
                <w:rFonts w:ascii="Arial" w:hAnsi="Arial" w:cs="Arial"/>
                <w:b/>
                <w:bCs/>
              </w:rPr>
            </w:pPr>
          </w:p>
        </w:tc>
        <w:tc>
          <w:tcPr>
            <w:tcW w:w="6752" w:type="dxa"/>
          </w:tcPr>
          <w:p w14:paraId="2116F64D" w14:textId="50E4E0E1" w:rsidR="00F36657" w:rsidRPr="00425364" w:rsidRDefault="00F36657" w:rsidP="00CA0216">
            <w:pPr>
              <w:spacing w:before="40" w:after="40" w:line="360" w:lineRule="auto"/>
              <w:rPr>
                <w:rFonts w:ascii="Arial" w:hAnsi="Arial" w:cs="Arial"/>
                <w:bCs/>
              </w:rPr>
            </w:pPr>
            <w:r w:rsidRPr="00425364">
              <w:rPr>
                <w:rFonts w:ascii="Arial" w:hAnsi="Arial" w:cs="Arial"/>
                <w:bCs/>
              </w:rPr>
              <w:t>Appendix 4 Equality Impact Assessment</w:t>
            </w:r>
          </w:p>
        </w:tc>
        <w:tc>
          <w:tcPr>
            <w:tcW w:w="1254" w:type="dxa"/>
          </w:tcPr>
          <w:p w14:paraId="08F3BAEC" w14:textId="76D2FAF5" w:rsidR="00F36657" w:rsidRPr="00425364" w:rsidRDefault="0036088A" w:rsidP="00CA0216">
            <w:pPr>
              <w:spacing w:before="40" w:after="40" w:line="360" w:lineRule="auto"/>
              <w:rPr>
                <w:rFonts w:ascii="Arial" w:hAnsi="Arial" w:cs="Arial"/>
                <w:b/>
                <w:bCs/>
              </w:rPr>
            </w:pPr>
            <w:r>
              <w:rPr>
                <w:rFonts w:ascii="Arial" w:hAnsi="Arial" w:cs="Arial"/>
                <w:b/>
                <w:bCs/>
              </w:rPr>
              <w:t>22</w:t>
            </w:r>
          </w:p>
        </w:tc>
      </w:tr>
      <w:bookmarkEnd w:id="3"/>
    </w:tbl>
    <w:p w14:paraId="5AE639F6" w14:textId="77777777" w:rsidR="00DF58B6" w:rsidRPr="00425364" w:rsidRDefault="00DF58B6" w:rsidP="00D148DF">
      <w:pPr>
        <w:jc w:val="center"/>
        <w:rPr>
          <w:rFonts w:ascii="Arial" w:hAnsi="Arial" w:cs="Arial"/>
          <w:b/>
        </w:rPr>
      </w:pPr>
    </w:p>
    <w:p w14:paraId="4D4A7C04" w14:textId="0D672C44" w:rsidR="003D7DFE" w:rsidRPr="007C603E" w:rsidRDefault="008D06B6" w:rsidP="00C90698">
      <w:pPr>
        <w:pStyle w:val="ListParagraph"/>
        <w:numPr>
          <w:ilvl w:val="0"/>
          <w:numId w:val="9"/>
        </w:numPr>
        <w:spacing w:after="200" w:line="360" w:lineRule="auto"/>
        <w:ind w:left="-57" w:firstLine="0"/>
        <w:rPr>
          <w:rFonts w:ascii="Arial" w:hAnsi="Arial" w:cs="Arial"/>
          <w:b/>
          <w:bCs/>
          <w:sz w:val="24"/>
          <w:szCs w:val="24"/>
        </w:rPr>
      </w:pPr>
      <w:r w:rsidRPr="00425364">
        <w:rPr>
          <w:rFonts w:ascii="Arial" w:hAnsi="Arial" w:cs="Arial"/>
          <w:b/>
        </w:rPr>
        <w:br w:type="page"/>
      </w:r>
      <w:r w:rsidR="003D7DFE" w:rsidRPr="007C603E">
        <w:rPr>
          <w:rFonts w:ascii="Arial" w:hAnsi="Arial" w:cs="Arial"/>
          <w:b/>
          <w:bCs/>
          <w:sz w:val="24"/>
          <w:szCs w:val="24"/>
        </w:rPr>
        <w:lastRenderedPageBreak/>
        <w:t xml:space="preserve">Introduction </w:t>
      </w:r>
    </w:p>
    <w:p w14:paraId="12368A61" w14:textId="7FDC5863" w:rsidR="00BD1171" w:rsidRPr="007C603E" w:rsidRDefault="00BD1171" w:rsidP="00C90698">
      <w:pPr>
        <w:pStyle w:val="NoSpacing"/>
        <w:spacing w:after="200" w:line="360" w:lineRule="auto"/>
        <w:ind w:left="-57"/>
        <w:rPr>
          <w:rFonts w:ascii="Arial" w:hAnsi="Arial" w:cs="Arial"/>
        </w:rPr>
      </w:pPr>
      <w:r w:rsidRPr="007C603E">
        <w:rPr>
          <w:rFonts w:ascii="Arial" w:hAnsi="Arial" w:cs="Arial"/>
        </w:rPr>
        <w:t xml:space="preserve">This policy describes and defines the responsibility of NHS </w:t>
      </w:r>
      <w:r w:rsidR="00DF1887" w:rsidRPr="007C603E">
        <w:rPr>
          <w:rFonts w:ascii="Arial" w:hAnsi="Arial" w:cs="Arial"/>
        </w:rPr>
        <w:t xml:space="preserve">Hertfordshire and West Essex </w:t>
      </w:r>
      <w:r w:rsidRPr="007C603E">
        <w:rPr>
          <w:rFonts w:ascii="Arial" w:hAnsi="Arial" w:cs="Arial"/>
        </w:rPr>
        <w:t xml:space="preserve">Integrated Care Board, known thereafter as </w:t>
      </w:r>
      <w:r w:rsidR="00D0192A">
        <w:rPr>
          <w:rFonts w:ascii="Arial" w:hAnsi="Arial" w:cs="Arial"/>
        </w:rPr>
        <w:t xml:space="preserve">the </w:t>
      </w:r>
      <w:r w:rsidRPr="007C603E">
        <w:rPr>
          <w:rFonts w:ascii="Arial" w:hAnsi="Arial" w:cs="Arial"/>
        </w:rPr>
        <w:t xml:space="preserve">ICB, when providing oversight to organisations who have transitioned to the </w:t>
      </w:r>
      <w:r w:rsidR="00DF1887" w:rsidRPr="007C603E">
        <w:rPr>
          <w:rFonts w:ascii="Arial" w:hAnsi="Arial" w:cs="Arial"/>
        </w:rPr>
        <w:t>P</w:t>
      </w:r>
      <w:r w:rsidRPr="007C603E">
        <w:rPr>
          <w:rFonts w:ascii="Arial" w:hAnsi="Arial" w:cs="Arial"/>
        </w:rPr>
        <w:t xml:space="preserve">atient </w:t>
      </w:r>
      <w:r w:rsidR="00DF1887" w:rsidRPr="007C603E">
        <w:rPr>
          <w:rFonts w:ascii="Arial" w:hAnsi="Arial" w:cs="Arial"/>
        </w:rPr>
        <w:t>S</w:t>
      </w:r>
      <w:r w:rsidRPr="007C603E">
        <w:rPr>
          <w:rFonts w:ascii="Arial" w:hAnsi="Arial" w:cs="Arial"/>
        </w:rPr>
        <w:t xml:space="preserve">afety </w:t>
      </w:r>
      <w:r w:rsidR="00DF1887" w:rsidRPr="007C603E">
        <w:rPr>
          <w:rFonts w:ascii="Arial" w:hAnsi="Arial" w:cs="Arial"/>
        </w:rPr>
        <w:t>I</w:t>
      </w:r>
      <w:r w:rsidRPr="007C603E">
        <w:rPr>
          <w:rFonts w:ascii="Arial" w:hAnsi="Arial" w:cs="Arial"/>
        </w:rPr>
        <w:t xml:space="preserve">ncident </w:t>
      </w:r>
      <w:r w:rsidR="00DF1887" w:rsidRPr="007C603E">
        <w:rPr>
          <w:rFonts w:ascii="Arial" w:hAnsi="Arial" w:cs="Arial"/>
        </w:rPr>
        <w:t>R</w:t>
      </w:r>
      <w:r w:rsidRPr="007C603E">
        <w:rPr>
          <w:rFonts w:ascii="Arial" w:hAnsi="Arial" w:cs="Arial"/>
        </w:rPr>
        <w:t xml:space="preserve">esponse </w:t>
      </w:r>
      <w:r w:rsidR="00DF1887" w:rsidRPr="007C603E">
        <w:rPr>
          <w:rFonts w:ascii="Arial" w:hAnsi="Arial" w:cs="Arial"/>
        </w:rPr>
        <w:t>F</w:t>
      </w:r>
      <w:r w:rsidRPr="007C603E">
        <w:rPr>
          <w:rFonts w:ascii="Arial" w:hAnsi="Arial" w:cs="Arial"/>
        </w:rPr>
        <w:t>ramework (PSIRF)</w:t>
      </w:r>
      <w:r w:rsidR="009A5C27">
        <w:rPr>
          <w:rFonts w:ascii="Arial" w:hAnsi="Arial" w:cs="Arial"/>
        </w:rPr>
        <w:t xml:space="preserve">. </w:t>
      </w:r>
      <w:r w:rsidR="00D0192A">
        <w:rPr>
          <w:rFonts w:ascii="Arial" w:hAnsi="Arial" w:cs="Arial"/>
        </w:rPr>
        <w:t>Additionally, the policy outlines how the ICB will support cross-system learning responses.</w:t>
      </w:r>
    </w:p>
    <w:p w14:paraId="51676289" w14:textId="588E8678" w:rsidR="00BD1171" w:rsidRPr="007C603E" w:rsidRDefault="00BD1171" w:rsidP="00233148">
      <w:pPr>
        <w:pStyle w:val="NoSpacing"/>
        <w:spacing w:after="200" w:line="360" w:lineRule="auto"/>
        <w:rPr>
          <w:rFonts w:ascii="Arial" w:hAnsi="Arial" w:cs="Arial"/>
        </w:rPr>
      </w:pPr>
      <w:r w:rsidRPr="007C603E">
        <w:rPr>
          <w:rFonts w:ascii="Arial" w:hAnsi="Arial" w:cs="Arial"/>
        </w:rPr>
        <w:t xml:space="preserve">In March 2020, NHS England (NHSE) published the PSIRF. The PSIRF is a key part of the patient safety strategy (NHSE 2019) and supports the NHS to improve its understanding of safety by drawing insight and learning from patient safety incidents. </w:t>
      </w:r>
    </w:p>
    <w:p w14:paraId="063BFD8F" w14:textId="45481989" w:rsidR="00BD1171" w:rsidRPr="007C603E" w:rsidRDefault="00BD1171" w:rsidP="00C90698">
      <w:pPr>
        <w:pStyle w:val="NoSpacing"/>
        <w:spacing w:after="200" w:line="360" w:lineRule="auto"/>
        <w:rPr>
          <w:rFonts w:ascii="Arial" w:hAnsi="Arial" w:cs="Arial"/>
        </w:rPr>
      </w:pPr>
      <w:r w:rsidRPr="007C603E">
        <w:rPr>
          <w:rFonts w:ascii="Arial" w:hAnsi="Arial" w:cs="Arial"/>
        </w:rPr>
        <w:t xml:space="preserve">The PSIRF replaces the serious incident framework (2015) and makes no distinction between ‘patient safety incidents’ and ‘serious incidents.’ ‘Serious Incidents’ and their associated thresholds no longer exist under PSIRF. PSIRF promotes a proportionate approach to responding to patient safety incidents by ensuring resources allocated to learning are balanced with those needed to deliver improvement. </w:t>
      </w:r>
    </w:p>
    <w:p w14:paraId="467B1DFB" w14:textId="2ADF90A1" w:rsidR="00BD1171" w:rsidRPr="007C603E" w:rsidRDefault="00DF1887" w:rsidP="00C90698">
      <w:pPr>
        <w:pStyle w:val="NoSpacing"/>
        <w:spacing w:after="200" w:line="360" w:lineRule="auto"/>
        <w:rPr>
          <w:rFonts w:ascii="Arial" w:hAnsi="Arial" w:cs="Arial"/>
        </w:rPr>
      </w:pPr>
      <w:r w:rsidRPr="007C603E">
        <w:rPr>
          <w:rFonts w:ascii="Arial" w:hAnsi="Arial" w:cs="Arial"/>
        </w:rPr>
        <w:t>All</w:t>
      </w:r>
      <w:r w:rsidR="00BD1171" w:rsidRPr="007C603E">
        <w:rPr>
          <w:rFonts w:ascii="Arial" w:hAnsi="Arial" w:cs="Arial"/>
        </w:rPr>
        <w:t xml:space="preserve"> organisations</w:t>
      </w:r>
      <w:r w:rsidR="00D0192A">
        <w:rPr>
          <w:rFonts w:ascii="Arial" w:hAnsi="Arial" w:cs="Arial"/>
        </w:rPr>
        <w:t xml:space="preserve"> with </w:t>
      </w:r>
      <w:r w:rsidR="00492AB7">
        <w:rPr>
          <w:rFonts w:ascii="Arial" w:hAnsi="Arial" w:cs="Arial"/>
        </w:rPr>
        <w:t>an</w:t>
      </w:r>
      <w:r w:rsidR="00D0192A">
        <w:rPr>
          <w:rFonts w:ascii="Arial" w:hAnsi="Arial" w:cs="Arial"/>
        </w:rPr>
        <w:t xml:space="preserve"> NHS standard contract</w:t>
      </w:r>
      <w:r w:rsidR="00BD1171" w:rsidRPr="007C603E">
        <w:rPr>
          <w:rFonts w:ascii="Arial" w:hAnsi="Arial" w:cs="Arial"/>
        </w:rPr>
        <w:t xml:space="preserve"> are expected to adopt PSIRF in 202</w:t>
      </w:r>
      <w:r w:rsidRPr="007C603E">
        <w:rPr>
          <w:rFonts w:ascii="Arial" w:hAnsi="Arial" w:cs="Arial"/>
        </w:rPr>
        <w:t>3/24</w:t>
      </w:r>
      <w:r w:rsidR="00BD1171" w:rsidRPr="007C603E">
        <w:rPr>
          <w:rFonts w:ascii="Arial" w:hAnsi="Arial" w:cs="Arial"/>
        </w:rPr>
        <w:t xml:space="preserve"> as part of the NHS standard contract. </w:t>
      </w:r>
      <w:r w:rsidRPr="007C603E">
        <w:rPr>
          <w:rFonts w:ascii="Arial" w:hAnsi="Arial" w:cs="Arial"/>
        </w:rPr>
        <w:t>This includes Independent Providers of NHS funded care.</w:t>
      </w:r>
      <w:r w:rsidR="00D0192A">
        <w:rPr>
          <w:rFonts w:ascii="Arial" w:hAnsi="Arial" w:cs="Arial"/>
        </w:rPr>
        <w:t xml:space="preserve"> Primary care services will be implementing PSIRF during the next 12 to 18 </w:t>
      </w:r>
      <w:proofErr w:type="gramStart"/>
      <w:r w:rsidR="00D0192A">
        <w:rPr>
          <w:rFonts w:ascii="Arial" w:hAnsi="Arial" w:cs="Arial"/>
        </w:rPr>
        <w:t>months</w:t>
      </w:r>
      <w:r w:rsidR="00754C36">
        <w:rPr>
          <w:rFonts w:ascii="Arial" w:hAnsi="Arial" w:cs="Arial"/>
        </w:rPr>
        <w:t>, and</w:t>
      </w:r>
      <w:proofErr w:type="gramEnd"/>
      <w:r w:rsidR="00754C36">
        <w:rPr>
          <w:rFonts w:ascii="Arial" w:hAnsi="Arial" w:cs="Arial"/>
        </w:rPr>
        <w:t xml:space="preserve"> will continue to work to the Serious Incident Framework (2015) in the meantime</w:t>
      </w:r>
      <w:r w:rsidR="00D0192A">
        <w:rPr>
          <w:rFonts w:ascii="Arial" w:hAnsi="Arial" w:cs="Arial"/>
        </w:rPr>
        <w:t>.</w:t>
      </w:r>
    </w:p>
    <w:p w14:paraId="18330C36" w14:textId="33B43378" w:rsidR="009324CE" w:rsidRDefault="00BD1171" w:rsidP="00C90698">
      <w:pPr>
        <w:pStyle w:val="NoSpacing"/>
        <w:spacing w:after="200" w:line="360" w:lineRule="auto"/>
        <w:rPr>
          <w:rFonts w:ascii="Arial" w:hAnsi="Arial" w:cs="Arial"/>
        </w:rPr>
      </w:pPr>
      <w:r w:rsidRPr="007C603E">
        <w:rPr>
          <w:rFonts w:ascii="Arial" w:hAnsi="Arial" w:cs="Arial"/>
        </w:rPr>
        <w:t>This policy document will be reviewed</w:t>
      </w:r>
      <w:r w:rsidR="00DF1887" w:rsidRPr="007C603E">
        <w:rPr>
          <w:rFonts w:ascii="Arial" w:hAnsi="Arial" w:cs="Arial"/>
        </w:rPr>
        <w:t xml:space="preserve"> </w:t>
      </w:r>
      <w:r w:rsidR="008547E0">
        <w:rPr>
          <w:rFonts w:ascii="Arial" w:hAnsi="Arial" w:cs="Arial"/>
        </w:rPr>
        <w:t>when</w:t>
      </w:r>
      <w:r w:rsidRPr="007C603E">
        <w:rPr>
          <w:rFonts w:ascii="Arial" w:hAnsi="Arial" w:cs="Arial"/>
        </w:rPr>
        <w:t xml:space="preserve"> further national PSIRF guidance is published and thereafter </w:t>
      </w:r>
      <w:r w:rsidR="00BD6113">
        <w:rPr>
          <w:rFonts w:ascii="Arial" w:hAnsi="Arial" w:cs="Arial"/>
        </w:rPr>
        <w:t>bi-</w:t>
      </w:r>
      <w:r w:rsidRPr="007C603E">
        <w:rPr>
          <w:rFonts w:ascii="Arial" w:hAnsi="Arial" w:cs="Arial"/>
        </w:rPr>
        <w:t>annually.</w:t>
      </w:r>
    </w:p>
    <w:p w14:paraId="70BF1845" w14:textId="77777777" w:rsidR="00EF5DF9" w:rsidRPr="00DB6D36" w:rsidRDefault="00EF5DF9" w:rsidP="00C90698">
      <w:pPr>
        <w:pStyle w:val="NoSpacing"/>
        <w:spacing w:after="200" w:line="360" w:lineRule="auto"/>
        <w:rPr>
          <w:rFonts w:ascii="Arial" w:hAnsi="Arial" w:cs="Arial"/>
          <w:sz w:val="2"/>
          <w:szCs w:val="2"/>
        </w:rPr>
      </w:pPr>
    </w:p>
    <w:p w14:paraId="4510960C" w14:textId="1E61046C" w:rsidR="00BA4576" w:rsidRPr="007C603E" w:rsidRDefault="00BA4576" w:rsidP="00C90698">
      <w:pPr>
        <w:pStyle w:val="Default"/>
        <w:numPr>
          <w:ilvl w:val="0"/>
          <w:numId w:val="12"/>
        </w:numPr>
        <w:spacing w:after="200" w:line="360" w:lineRule="auto"/>
        <w:ind w:left="-57" w:firstLine="0"/>
        <w:jc w:val="both"/>
        <w:rPr>
          <w:b/>
          <w:bCs/>
        </w:rPr>
      </w:pPr>
      <w:r w:rsidRPr="007C603E">
        <w:rPr>
          <w:b/>
          <w:bCs/>
        </w:rPr>
        <w:t>Purpose</w:t>
      </w:r>
    </w:p>
    <w:p w14:paraId="748C397A" w14:textId="4692CCF4" w:rsidR="008547E0" w:rsidRDefault="008547E0" w:rsidP="00C90698">
      <w:pPr>
        <w:spacing w:after="200" w:line="360" w:lineRule="auto"/>
        <w:ind w:left="-57"/>
        <w:rPr>
          <w:rFonts w:ascii="Arial" w:eastAsiaTheme="minorHAnsi" w:hAnsi="Arial" w:cs="Arial"/>
          <w:color w:val="000000" w:themeColor="text1"/>
          <w:lang w:eastAsia="en-US"/>
        </w:rPr>
      </w:pPr>
      <w:r w:rsidRPr="008547E0">
        <w:rPr>
          <w:rFonts w:ascii="Arial" w:eastAsiaTheme="minorHAnsi" w:hAnsi="Arial" w:cs="Arial"/>
          <w:color w:val="000000" w:themeColor="text1"/>
          <w:lang w:eastAsia="en-US"/>
        </w:rPr>
        <w:t>The leadership and management functions of the Patient Safety Incident Response Framework (PSIRF) are multifaceted. The (PSIRF) advocates oversight that enables organisations to demonstrate improvement rather than compliance with prescriptive, centrally mandated measures. To achieve this, oversight of patient safety incident response under PSIRF must focus on engagement and empowerment rather than more traditional command and control.</w:t>
      </w:r>
    </w:p>
    <w:p w14:paraId="2B9FE64E" w14:textId="54BE3C2C" w:rsidR="008547E0" w:rsidRDefault="00DA4129" w:rsidP="008547E0">
      <w:pPr>
        <w:spacing w:after="200" w:line="360" w:lineRule="auto"/>
        <w:ind w:left="-57"/>
        <w:rPr>
          <w:rFonts w:ascii="Arial" w:eastAsiaTheme="minorHAnsi" w:hAnsi="Arial" w:cs="Arial"/>
          <w:color w:val="000000" w:themeColor="text1"/>
          <w:lang w:eastAsia="en-US"/>
        </w:rPr>
      </w:pPr>
      <w:r w:rsidRPr="007C603E">
        <w:rPr>
          <w:rFonts w:ascii="Arial" w:eastAsiaTheme="minorHAnsi" w:hAnsi="Arial" w:cs="Arial"/>
          <w:color w:val="000000" w:themeColor="text1"/>
          <w:lang w:eastAsia="en-US"/>
        </w:rPr>
        <w:t xml:space="preserve">This policy supports the requirements of the NHS England Patient Safety Incident Response Framework (PSIRF) and sets out </w:t>
      </w:r>
      <w:r w:rsidR="008547E0">
        <w:rPr>
          <w:rFonts w:ascii="Arial" w:eastAsiaTheme="minorHAnsi" w:hAnsi="Arial" w:cs="Arial"/>
          <w:color w:val="000000" w:themeColor="text1"/>
          <w:lang w:eastAsia="en-US"/>
        </w:rPr>
        <w:t>the ICB’s</w:t>
      </w:r>
      <w:r w:rsidRPr="007C603E">
        <w:rPr>
          <w:rFonts w:ascii="Arial" w:eastAsiaTheme="minorHAnsi" w:hAnsi="Arial" w:cs="Arial"/>
          <w:color w:val="000000" w:themeColor="text1"/>
          <w:lang w:eastAsia="en-US"/>
        </w:rPr>
        <w:t xml:space="preserve"> approach </w:t>
      </w:r>
      <w:r w:rsidR="008547E0">
        <w:rPr>
          <w:rFonts w:ascii="Arial" w:eastAsiaTheme="minorHAnsi" w:hAnsi="Arial" w:cs="Arial"/>
          <w:color w:val="000000" w:themeColor="text1"/>
          <w:lang w:eastAsia="en-US"/>
        </w:rPr>
        <w:t xml:space="preserve">to fulfilling the roles </w:t>
      </w:r>
      <w:r w:rsidR="008547E0">
        <w:rPr>
          <w:rFonts w:ascii="Arial" w:eastAsiaTheme="minorHAnsi" w:hAnsi="Arial" w:cs="Arial"/>
          <w:color w:val="000000" w:themeColor="text1"/>
          <w:lang w:eastAsia="en-US"/>
        </w:rPr>
        <w:lastRenderedPageBreak/>
        <w:t>and responsibilities for ICBs</w:t>
      </w:r>
      <w:r w:rsidR="00492AB7">
        <w:rPr>
          <w:rFonts w:ascii="Arial" w:eastAsiaTheme="minorHAnsi" w:hAnsi="Arial" w:cs="Arial"/>
          <w:color w:val="000000" w:themeColor="text1"/>
          <w:lang w:eastAsia="en-US"/>
        </w:rPr>
        <w:t>.</w:t>
      </w:r>
      <w:r w:rsidR="00BD6113">
        <w:rPr>
          <w:rFonts w:ascii="Arial" w:eastAsiaTheme="minorHAnsi" w:hAnsi="Arial" w:cs="Arial"/>
          <w:color w:val="000000" w:themeColor="text1"/>
          <w:lang w:eastAsia="en-US"/>
        </w:rPr>
        <w:t xml:space="preserve"> This includes how the ICB will work with local Health and Care Partnerships (HCPs) to support learning and improvement.</w:t>
      </w:r>
    </w:p>
    <w:p w14:paraId="5DF30A21" w14:textId="4B09D1A7" w:rsidR="00DA4129" w:rsidRPr="007C603E" w:rsidRDefault="00DA4129" w:rsidP="00C90698">
      <w:pPr>
        <w:spacing w:after="200" w:line="360" w:lineRule="auto"/>
        <w:ind w:left="-57"/>
        <w:rPr>
          <w:rFonts w:ascii="Arial" w:eastAsiaTheme="minorHAnsi" w:hAnsi="Arial" w:cs="Arial"/>
          <w:color w:val="000000" w:themeColor="text1"/>
          <w:lang w:eastAsia="en-US"/>
        </w:rPr>
      </w:pPr>
      <w:r w:rsidRPr="007C603E">
        <w:rPr>
          <w:rFonts w:ascii="Arial" w:eastAsiaTheme="minorHAnsi" w:hAnsi="Arial" w:cs="Arial"/>
          <w:color w:val="000000" w:themeColor="text1"/>
          <w:lang w:eastAsia="en-US"/>
        </w:rPr>
        <w:t>This policy supports development and maintenance of an effective patient safety incident response system that integrates the four key aims of the PSIRF and which we can also align to our existing</w:t>
      </w:r>
      <w:r w:rsidR="009A5C27">
        <w:rPr>
          <w:rFonts w:ascii="Arial" w:eastAsiaTheme="minorHAnsi" w:hAnsi="Arial" w:cs="Arial"/>
          <w:color w:val="000000" w:themeColor="text1"/>
          <w:lang w:eastAsia="en-US"/>
        </w:rPr>
        <w:t xml:space="preserve"> principles</w:t>
      </w:r>
      <w:r w:rsidRPr="007C603E">
        <w:rPr>
          <w:rFonts w:ascii="Arial" w:eastAsiaTheme="minorHAnsi" w:hAnsi="Arial" w:cs="Arial"/>
          <w:color w:val="000000" w:themeColor="text1"/>
          <w:lang w:eastAsia="en-US"/>
        </w:rPr>
        <w:t>:</w:t>
      </w:r>
    </w:p>
    <w:p w14:paraId="574C7A08" w14:textId="587A74B3" w:rsidR="007C603E" w:rsidRPr="009A5C27" w:rsidRDefault="009A5C27" w:rsidP="009A5C27">
      <w:pPr>
        <w:pStyle w:val="ListParagraph"/>
        <w:numPr>
          <w:ilvl w:val="0"/>
          <w:numId w:val="38"/>
        </w:numPr>
        <w:spacing w:after="200" w:line="360" w:lineRule="auto"/>
        <w:rPr>
          <w:rStyle w:val="Strong"/>
          <w:rFonts w:ascii="Arial" w:eastAsiaTheme="minorHAnsi" w:hAnsi="Arial" w:cs="Arial"/>
          <w:b w:val="0"/>
          <w:bCs w:val="0"/>
          <w:color w:val="000000" w:themeColor="text1"/>
          <w:lang w:eastAsia="en-US"/>
        </w:rPr>
      </w:pPr>
      <w:r w:rsidRPr="009A5C27">
        <w:rPr>
          <w:rStyle w:val="Strong"/>
          <w:rFonts w:ascii="Arial" w:hAnsi="Arial" w:cs="Arial"/>
          <w:b w:val="0"/>
          <w:bCs w:val="0"/>
          <w:color w:val="242424"/>
          <w:shd w:val="clear" w:color="auto" w:fill="FFFFFF"/>
        </w:rPr>
        <w:t>Integration of health, care, and wellbeing services</w:t>
      </w:r>
    </w:p>
    <w:p w14:paraId="3B93DB41" w14:textId="1A8743AA" w:rsidR="009A5C27" w:rsidRPr="009A5C27" w:rsidRDefault="009A5C27" w:rsidP="009A5C27">
      <w:pPr>
        <w:pStyle w:val="ListParagraph"/>
        <w:numPr>
          <w:ilvl w:val="0"/>
          <w:numId w:val="38"/>
        </w:numPr>
        <w:spacing w:after="200" w:line="360" w:lineRule="auto"/>
        <w:rPr>
          <w:rStyle w:val="Strong"/>
          <w:rFonts w:ascii="Arial" w:eastAsiaTheme="minorHAnsi" w:hAnsi="Arial" w:cs="Arial"/>
          <w:b w:val="0"/>
          <w:bCs w:val="0"/>
          <w:color w:val="000000" w:themeColor="text1"/>
          <w:lang w:eastAsia="en-US"/>
        </w:rPr>
      </w:pPr>
      <w:r w:rsidRPr="009A5C27">
        <w:rPr>
          <w:rStyle w:val="Strong"/>
          <w:rFonts w:ascii="Arial" w:hAnsi="Arial" w:cs="Arial"/>
          <w:b w:val="0"/>
          <w:bCs w:val="0"/>
          <w:color w:val="242424"/>
          <w:shd w:val="clear" w:color="auto" w:fill="FFFFFF"/>
        </w:rPr>
        <w:t>Priority towards prevention and early intervention</w:t>
      </w:r>
    </w:p>
    <w:p w14:paraId="523B91DF" w14:textId="3786E1E1" w:rsidR="009A5C27" w:rsidRPr="009A5C27" w:rsidRDefault="009A5C27" w:rsidP="009A5C27">
      <w:pPr>
        <w:pStyle w:val="ListParagraph"/>
        <w:numPr>
          <w:ilvl w:val="0"/>
          <w:numId w:val="38"/>
        </w:numPr>
        <w:spacing w:after="200" w:line="360" w:lineRule="auto"/>
        <w:rPr>
          <w:rStyle w:val="Strong"/>
          <w:rFonts w:ascii="Arial" w:eastAsiaTheme="minorHAnsi" w:hAnsi="Arial" w:cs="Arial"/>
          <w:b w:val="0"/>
          <w:bCs w:val="0"/>
          <w:color w:val="000000" w:themeColor="text1"/>
          <w:lang w:eastAsia="en-US"/>
        </w:rPr>
      </w:pPr>
      <w:r w:rsidRPr="009A5C27">
        <w:rPr>
          <w:rStyle w:val="Strong"/>
          <w:rFonts w:ascii="Arial" w:hAnsi="Arial" w:cs="Arial"/>
          <w:b w:val="0"/>
          <w:bCs w:val="0"/>
          <w:color w:val="242424"/>
          <w:shd w:val="clear" w:color="auto" w:fill="FFFFFF"/>
        </w:rPr>
        <w:t xml:space="preserve">Targeted work to reduce health </w:t>
      </w:r>
      <w:r w:rsidR="0097014E" w:rsidRPr="009A5C27">
        <w:rPr>
          <w:rStyle w:val="Strong"/>
          <w:rFonts w:ascii="Arial" w:hAnsi="Arial" w:cs="Arial"/>
          <w:b w:val="0"/>
          <w:bCs w:val="0"/>
          <w:color w:val="242424"/>
          <w:shd w:val="clear" w:color="auto" w:fill="FFFFFF"/>
        </w:rPr>
        <w:t>inequalities.</w:t>
      </w:r>
    </w:p>
    <w:p w14:paraId="358B3B53" w14:textId="531699A8" w:rsidR="009A5C27" w:rsidRPr="009A5C27" w:rsidRDefault="009A5C27" w:rsidP="009A5C27">
      <w:pPr>
        <w:pStyle w:val="ListParagraph"/>
        <w:numPr>
          <w:ilvl w:val="0"/>
          <w:numId w:val="38"/>
        </w:numPr>
        <w:spacing w:after="200" w:line="360" w:lineRule="auto"/>
        <w:rPr>
          <w:rStyle w:val="Strong"/>
          <w:rFonts w:ascii="Arial" w:eastAsiaTheme="minorHAnsi" w:hAnsi="Arial" w:cs="Arial"/>
          <w:color w:val="000000" w:themeColor="text1"/>
          <w:lang w:eastAsia="en-US"/>
        </w:rPr>
      </w:pPr>
      <w:r w:rsidRPr="009A5C27">
        <w:rPr>
          <w:rStyle w:val="Strong"/>
          <w:rFonts w:ascii="Arial" w:hAnsi="Arial" w:cs="Arial"/>
          <w:b w:val="0"/>
          <w:bCs w:val="0"/>
          <w:color w:val="242424"/>
          <w:shd w:val="clear" w:color="auto" w:fill="FFFFFF"/>
        </w:rPr>
        <w:t>Involving our residents and our workforce</w:t>
      </w:r>
    </w:p>
    <w:p w14:paraId="0B157CF3" w14:textId="77777777" w:rsidR="00492AB7" w:rsidRPr="00492AB7" w:rsidRDefault="00492AB7" w:rsidP="00492AB7">
      <w:pPr>
        <w:spacing w:after="280" w:line="360" w:lineRule="atLeast"/>
        <w:ind w:left="-284" w:right="119"/>
        <w:rPr>
          <w:rFonts w:ascii="Arial" w:eastAsiaTheme="minorHAnsi" w:hAnsi="Arial"/>
          <w:lang w:eastAsia="en-US"/>
        </w:rPr>
      </w:pPr>
      <w:r w:rsidRPr="00492AB7">
        <w:rPr>
          <w:rFonts w:ascii="Arial" w:eastAsiaTheme="minorHAnsi" w:hAnsi="Arial"/>
          <w:lang w:eastAsia="en-US"/>
        </w:rPr>
        <w:t xml:space="preserve">The following principles underpin the oversight of patient safety incident response: </w:t>
      </w:r>
    </w:p>
    <w:p w14:paraId="52672BA0" w14:textId="38C68A1D" w:rsidR="00492AB7" w:rsidRPr="00492AB7" w:rsidRDefault="00492AB7" w:rsidP="00492AB7">
      <w:pPr>
        <w:numPr>
          <w:ilvl w:val="0"/>
          <w:numId w:val="43"/>
        </w:numPr>
        <w:spacing w:after="280" w:line="360" w:lineRule="atLeast"/>
        <w:ind w:right="119"/>
        <w:contextualSpacing/>
        <w:rPr>
          <w:rFonts w:ascii="Arial" w:eastAsiaTheme="minorHAnsi" w:hAnsi="Arial"/>
          <w:lang w:eastAsia="en-US"/>
        </w:rPr>
      </w:pPr>
      <w:r w:rsidRPr="00492AB7">
        <w:rPr>
          <w:rFonts w:ascii="Arial" w:eastAsiaTheme="minorHAnsi" w:hAnsi="Arial"/>
          <w:lang w:eastAsia="en-US"/>
        </w:rPr>
        <w:t>Improvement is the focus</w:t>
      </w:r>
      <w:r>
        <w:rPr>
          <w:rFonts w:ascii="Arial" w:eastAsiaTheme="minorHAnsi" w:hAnsi="Arial"/>
          <w:lang w:eastAsia="en-US"/>
        </w:rPr>
        <w:t>.</w:t>
      </w:r>
    </w:p>
    <w:p w14:paraId="5B017F8D" w14:textId="33AD3C40" w:rsidR="00492AB7" w:rsidRPr="00492AB7" w:rsidRDefault="00492AB7" w:rsidP="00492AB7">
      <w:pPr>
        <w:numPr>
          <w:ilvl w:val="0"/>
          <w:numId w:val="43"/>
        </w:numPr>
        <w:spacing w:after="280" w:line="360" w:lineRule="atLeast"/>
        <w:ind w:right="119"/>
        <w:contextualSpacing/>
        <w:rPr>
          <w:rFonts w:ascii="Arial" w:eastAsiaTheme="minorHAnsi" w:hAnsi="Arial"/>
          <w:lang w:eastAsia="en-US"/>
        </w:rPr>
      </w:pPr>
      <w:r w:rsidRPr="00492AB7">
        <w:rPr>
          <w:rFonts w:ascii="Arial" w:eastAsiaTheme="minorHAnsi" w:hAnsi="Arial"/>
          <w:lang w:eastAsia="en-US"/>
        </w:rPr>
        <w:t>Blame restricts insight</w:t>
      </w:r>
      <w:r>
        <w:rPr>
          <w:rFonts w:ascii="Arial" w:eastAsiaTheme="minorHAnsi" w:hAnsi="Arial"/>
          <w:lang w:eastAsia="en-US"/>
        </w:rPr>
        <w:t>.</w:t>
      </w:r>
    </w:p>
    <w:p w14:paraId="638729AC" w14:textId="17ED2231" w:rsidR="00492AB7" w:rsidRPr="00492AB7" w:rsidRDefault="00492AB7" w:rsidP="00492AB7">
      <w:pPr>
        <w:numPr>
          <w:ilvl w:val="0"/>
          <w:numId w:val="43"/>
        </w:numPr>
        <w:spacing w:after="280" w:line="360" w:lineRule="atLeast"/>
        <w:ind w:right="119"/>
        <w:contextualSpacing/>
        <w:rPr>
          <w:rFonts w:ascii="Arial" w:eastAsiaTheme="minorHAnsi" w:hAnsi="Arial"/>
          <w:lang w:eastAsia="en-US"/>
        </w:rPr>
      </w:pPr>
      <w:r w:rsidRPr="00492AB7">
        <w:rPr>
          <w:rFonts w:ascii="Arial" w:eastAsiaTheme="minorHAnsi" w:hAnsi="Arial"/>
          <w:lang w:eastAsia="en-US"/>
        </w:rPr>
        <w:t>Learning from patient safety incidents is a proactive step towards improvement</w:t>
      </w:r>
      <w:r>
        <w:rPr>
          <w:rFonts w:ascii="Arial" w:eastAsiaTheme="minorHAnsi" w:hAnsi="Arial"/>
          <w:lang w:eastAsia="en-US"/>
        </w:rPr>
        <w:t>.</w:t>
      </w:r>
    </w:p>
    <w:p w14:paraId="5356A970" w14:textId="7F457B74" w:rsidR="00492AB7" w:rsidRPr="00492AB7" w:rsidRDefault="00492AB7" w:rsidP="00492AB7">
      <w:pPr>
        <w:numPr>
          <w:ilvl w:val="0"/>
          <w:numId w:val="43"/>
        </w:numPr>
        <w:spacing w:after="280" w:line="360" w:lineRule="atLeast"/>
        <w:ind w:right="119"/>
        <w:contextualSpacing/>
        <w:rPr>
          <w:rFonts w:ascii="Arial" w:eastAsiaTheme="minorHAnsi" w:hAnsi="Arial"/>
          <w:lang w:eastAsia="en-US"/>
        </w:rPr>
      </w:pPr>
      <w:r w:rsidRPr="00492AB7">
        <w:rPr>
          <w:rFonts w:ascii="Arial" w:eastAsiaTheme="minorHAnsi" w:hAnsi="Arial"/>
          <w:lang w:eastAsia="en-US"/>
        </w:rPr>
        <w:t>Collaboration is key</w:t>
      </w:r>
      <w:r>
        <w:rPr>
          <w:rFonts w:ascii="Arial" w:eastAsiaTheme="minorHAnsi" w:hAnsi="Arial"/>
          <w:lang w:eastAsia="en-US"/>
        </w:rPr>
        <w:t>.</w:t>
      </w:r>
    </w:p>
    <w:p w14:paraId="3EAF147D" w14:textId="279E0030" w:rsidR="00492AB7" w:rsidRPr="00492AB7" w:rsidRDefault="00492AB7" w:rsidP="00492AB7">
      <w:pPr>
        <w:numPr>
          <w:ilvl w:val="0"/>
          <w:numId w:val="43"/>
        </w:numPr>
        <w:spacing w:after="280" w:line="360" w:lineRule="atLeast"/>
        <w:ind w:right="119"/>
        <w:contextualSpacing/>
        <w:rPr>
          <w:rFonts w:ascii="Arial" w:eastAsiaTheme="minorHAnsi" w:hAnsi="Arial"/>
          <w:lang w:eastAsia="en-US"/>
        </w:rPr>
      </w:pPr>
      <w:r w:rsidRPr="00492AB7">
        <w:rPr>
          <w:rFonts w:ascii="Arial" w:eastAsiaTheme="minorHAnsi" w:hAnsi="Arial"/>
          <w:lang w:eastAsia="en-US"/>
        </w:rPr>
        <w:t>Psychological safety allows learning to occur</w:t>
      </w:r>
      <w:r>
        <w:rPr>
          <w:rFonts w:ascii="Arial" w:eastAsiaTheme="minorHAnsi" w:hAnsi="Arial"/>
          <w:lang w:eastAsia="en-US"/>
        </w:rPr>
        <w:t>.</w:t>
      </w:r>
    </w:p>
    <w:p w14:paraId="5DB1E157" w14:textId="645636FC" w:rsidR="00492AB7" w:rsidRDefault="00492AB7" w:rsidP="00492AB7">
      <w:pPr>
        <w:numPr>
          <w:ilvl w:val="0"/>
          <w:numId w:val="43"/>
        </w:numPr>
        <w:spacing w:after="280" w:line="360" w:lineRule="atLeast"/>
        <w:ind w:right="119"/>
        <w:contextualSpacing/>
        <w:rPr>
          <w:rFonts w:ascii="Arial" w:eastAsiaTheme="minorHAnsi" w:hAnsi="Arial"/>
          <w:lang w:eastAsia="en-US"/>
        </w:rPr>
      </w:pPr>
      <w:r w:rsidRPr="00492AB7">
        <w:rPr>
          <w:rFonts w:ascii="Arial" w:eastAsiaTheme="minorHAnsi" w:hAnsi="Arial"/>
          <w:lang w:eastAsia="en-US"/>
        </w:rPr>
        <w:t>Curiosity is powerful</w:t>
      </w:r>
      <w:r>
        <w:rPr>
          <w:rFonts w:ascii="Arial" w:eastAsiaTheme="minorHAnsi" w:hAnsi="Arial"/>
          <w:lang w:eastAsia="en-US"/>
        </w:rPr>
        <w:t>.</w:t>
      </w:r>
    </w:p>
    <w:p w14:paraId="5A883CA9" w14:textId="77777777" w:rsidR="00EF5DF9" w:rsidRPr="00754C36" w:rsidRDefault="00EF5DF9" w:rsidP="00EF5DF9">
      <w:pPr>
        <w:spacing w:after="280" w:line="360" w:lineRule="atLeast"/>
        <w:ind w:left="436" w:right="119"/>
        <w:contextualSpacing/>
        <w:rPr>
          <w:rFonts w:ascii="Arial" w:eastAsiaTheme="minorHAnsi" w:hAnsi="Arial"/>
          <w:sz w:val="2"/>
          <w:szCs w:val="2"/>
          <w:lang w:eastAsia="en-US"/>
        </w:rPr>
      </w:pPr>
    </w:p>
    <w:p w14:paraId="5C1735B5" w14:textId="28894708" w:rsidR="00BA4576" w:rsidRPr="007C603E" w:rsidRDefault="00BA4576" w:rsidP="00C90698">
      <w:pPr>
        <w:pStyle w:val="Default"/>
        <w:numPr>
          <w:ilvl w:val="0"/>
          <w:numId w:val="13"/>
        </w:numPr>
        <w:spacing w:after="200" w:line="360" w:lineRule="auto"/>
        <w:ind w:left="-57" w:firstLine="0"/>
        <w:jc w:val="both"/>
        <w:rPr>
          <w:b/>
          <w:bCs/>
        </w:rPr>
      </w:pPr>
      <w:r w:rsidRPr="007C603E">
        <w:rPr>
          <w:b/>
          <w:bCs/>
        </w:rPr>
        <w:t>Scope</w:t>
      </w:r>
    </w:p>
    <w:p w14:paraId="5BFBB765" w14:textId="3B30B723" w:rsidR="008547E0" w:rsidRDefault="008547E0" w:rsidP="00C90698">
      <w:pPr>
        <w:spacing w:after="200" w:line="360" w:lineRule="auto"/>
        <w:ind w:left="-57"/>
        <w:rPr>
          <w:rFonts w:ascii="Arial" w:eastAsiaTheme="minorHAnsi" w:hAnsi="Arial" w:cs="Arial"/>
          <w:lang w:eastAsia="en-US"/>
        </w:rPr>
      </w:pPr>
      <w:r w:rsidRPr="008547E0">
        <w:rPr>
          <w:rFonts w:ascii="Arial" w:eastAsiaTheme="minorHAnsi" w:hAnsi="Arial" w:cs="Arial"/>
          <w:lang w:eastAsia="en-US"/>
        </w:rPr>
        <w:t>This policy is specific to roles and responsibilities in relation to patient safety incident responses conducted solely for the purpose of learning and improvement across</w:t>
      </w:r>
      <w:r>
        <w:rPr>
          <w:rFonts w:ascii="Arial" w:eastAsiaTheme="minorHAnsi" w:hAnsi="Arial" w:cs="Arial"/>
          <w:lang w:eastAsia="en-US"/>
        </w:rPr>
        <w:t xml:space="preserve"> Hertfordshire and West Essex. </w:t>
      </w:r>
    </w:p>
    <w:p w14:paraId="16EAE1AD" w14:textId="30D60272" w:rsidR="004B16C4" w:rsidRPr="007029DD" w:rsidRDefault="004B16C4" w:rsidP="00C90698">
      <w:pPr>
        <w:spacing w:after="200" w:line="360" w:lineRule="auto"/>
        <w:ind w:left="-57"/>
        <w:rPr>
          <w:rFonts w:ascii="Arial" w:eastAsiaTheme="minorHAnsi" w:hAnsi="Arial" w:cs="Arial"/>
          <w:lang w:eastAsia="en-US"/>
        </w:rPr>
      </w:pPr>
      <w:r w:rsidRPr="007029DD">
        <w:rPr>
          <w:rFonts w:ascii="Arial" w:eastAsiaTheme="minorHAnsi" w:hAnsi="Arial" w:cs="Arial"/>
          <w:lang w:eastAsia="en-US"/>
        </w:rPr>
        <w:t xml:space="preserve">Patient safety incidents are unintended or unexpected events (including omissions), in healthcare that could have or did cause harm to one or more patients. </w:t>
      </w:r>
    </w:p>
    <w:p w14:paraId="4BE06A49" w14:textId="69D7F10B" w:rsidR="004B16C4" w:rsidRPr="007029DD" w:rsidRDefault="004B16C4" w:rsidP="00C90698">
      <w:pPr>
        <w:spacing w:after="200" w:line="360" w:lineRule="auto"/>
        <w:ind w:left="-57"/>
        <w:rPr>
          <w:rFonts w:ascii="Arial" w:eastAsiaTheme="minorHAnsi" w:hAnsi="Arial" w:cs="Arial"/>
          <w:lang w:eastAsia="en-US"/>
        </w:rPr>
      </w:pPr>
      <w:r w:rsidRPr="007029DD">
        <w:rPr>
          <w:rFonts w:ascii="Arial" w:eastAsiaTheme="minorHAnsi" w:hAnsi="Arial" w:cs="Arial"/>
          <w:lang w:eastAsia="en-US"/>
        </w:rPr>
        <w:t xml:space="preserve">PSIRF fundamentally shifts how the NHS responds to patient safety incidents for learning and improvement. PSIRF is not an investigation framework to determine the cause of death or to hold any individual or organisation to account. PSIRF advocates a co-ordinated and data-driven approach to patient safety incident response that prioritises compassionate engagement with those affected by patient safety incidents. PSIRF embeds patient safety incident response within a wider system of improvement and prompts a significant cultural shift towards systematic patient safety management. </w:t>
      </w:r>
    </w:p>
    <w:p w14:paraId="25EC25DB" w14:textId="77777777" w:rsidR="00DA4129" w:rsidRPr="007029DD" w:rsidRDefault="00DA4129" w:rsidP="00C90698">
      <w:pPr>
        <w:pStyle w:val="NoSpacing"/>
        <w:spacing w:after="200" w:line="360" w:lineRule="auto"/>
        <w:ind w:left="-57"/>
        <w:rPr>
          <w:rStyle w:val="Strong"/>
          <w:rFonts w:ascii="Arial" w:hAnsi="Arial" w:cs="Arial"/>
          <w:b w:val="0"/>
          <w:bCs w:val="0"/>
        </w:rPr>
      </w:pPr>
      <w:bookmarkStart w:id="4" w:name="_Toc63428901"/>
      <w:bookmarkStart w:id="5" w:name="_Toc63435118"/>
      <w:bookmarkStart w:id="6" w:name="_Toc63435251"/>
      <w:bookmarkStart w:id="7" w:name="_Toc63780421"/>
      <w:bookmarkStart w:id="8" w:name="_Toc63780474"/>
      <w:r w:rsidRPr="007029DD">
        <w:rPr>
          <w:rStyle w:val="Strong"/>
          <w:rFonts w:ascii="Arial" w:hAnsi="Arial" w:cs="Arial"/>
          <w:b w:val="0"/>
          <w:bCs w:val="0"/>
        </w:rPr>
        <w:lastRenderedPageBreak/>
        <w:t xml:space="preserve">Responses under this policy follow a systems-based approach. This recognises that patient safety is an emergent property of the healthcare system: that is, safety is provided by interactions between components and not from a single component. Responses do not take a ‘person-focused’ approach where the actions or inactions of people, or ‘human error’, are stated as the cause of an incident.  </w:t>
      </w:r>
    </w:p>
    <w:p w14:paraId="6F7513DA" w14:textId="632B120F" w:rsidR="00DA4129" w:rsidRPr="007029DD" w:rsidRDefault="00DA4129" w:rsidP="00C90698">
      <w:pPr>
        <w:spacing w:after="200" w:line="360" w:lineRule="auto"/>
        <w:ind w:left="-57"/>
        <w:rPr>
          <w:rFonts w:ascii="Arial" w:eastAsiaTheme="minorHAnsi" w:hAnsi="Arial" w:cs="Arial"/>
          <w:color w:val="000000" w:themeColor="text1"/>
          <w:lang w:eastAsia="en-US"/>
        </w:rPr>
      </w:pPr>
      <w:r w:rsidRPr="007029DD">
        <w:rPr>
          <w:rFonts w:ascii="Arial" w:eastAsiaTheme="minorHAnsi" w:hAnsi="Arial" w:cs="Arial"/>
          <w:color w:val="000000" w:themeColor="text1"/>
          <w:lang w:eastAsia="en-US"/>
        </w:rPr>
        <w:t xml:space="preserve">Where other processes exist with a remit of determining liability or to apportion blame, or cause of death, their principal aims differ from a patient safety response. Such processes as those listed below and are therefore outside of the scope </w:t>
      </w:r>
      <w:r w:rsidR="008547E0">
        <w:rPr>
          <w:rFonts w:ascii="Arial" w:eastAsiaTheme="minorHAnsi" w:hAnsi="Arial" w:cs="Arial"/>
          <w:color w:val="000000" w:themeColor="text1"/>
          <w:lang w:eastAsia="en-US"/>
        </w:rPr>
        <w:t xml:space="preserve">of </w:t>
      </w:r>
      <w:r w:rsidRPr="007029DD">
        <w:rPr>
          <w:rFonts w:ascii="Arial" w:eastAsiaTheme="minorHAnsi" w:hAnsi="Arial" w:cs="Arial"/>
          <w:color w:val="000000" w:themeColor="text1"/>
          <w:lang w:eastAsia="en-US"/>
        </w:rPr>
        <w:t>this policy.</w:t>
      </w:r>
    </w:p>
    <w:p w14:paraId="053E4A1B" w14:textId="77777777" w:rsidR="00C90698" w:rsidRDefault="00DA4129" w:rsidP="00C90698">
      <w:pPr>
        <w:pStyle w:val="ListParagraph"/>
        <w:numPr>
          <w:ilvl w:val="0"/>
          <w:numId w:val="26"/>
        </w:numPr>
        <w:spacing w:after="200" w:line="360" w:lineRule="auto"/>
        <w:rPr>
          <w:rFonts w:ascii="Arial" w:eastAsiaTheme="minorHAnsi" w:hAnsi="Arial" w:cs="Arial"/>
          <w:color w:val="000000" w:themeColor="text1"/>
          <w:lang w:eastAsia="en-US"/>
        </w:rPr>
      </w:pPr>
      <w:r w:rsidRPr="00C90698">
        <w:rPr>
          <w:rFonts w:ascii="Arial" w:eastAsiaTheme="minorHAnsi" w:hAnsi="Arial" w:cs="Arial"/>
          <w:color w:val="000000" w:themeColor="text1"/>
          <w:lang w:eastAsia="en-US"/>
        </w:rPr>
        <w:t>claims handling,</w:t>
      </w:r>
    </w:p>
    <w:p w14:paraId="4E1E3EA7" w14:textId="77777777" w:rsidR="00C90698" w:rsidRDefault="00DA4129" w:rsidP="00C90698">
      <w:pPr>
        <w:pStyle w:val="ListParagraph"/>
        <w:numPr>
          <w:ilvl w:val="0"/>
          <w:numId w:val="26"/>
        </w:numPr>
        <w:spacing w:after="200" w:line="360" w:lineRule="auto"/>
        <w:rPr>
          <w:rFonts w:ascii="Arial" w:eastAsiaTheme="minorHAnsi" w:hAnsi="Arial" w:cs="Arial"/>
          <w:color w:val="000000" w:themeColor="text1"/>
          <w:lang w:eastAsia="en-US"/>
        </w:rPr>
      </w:pPr>
      <w:r w:rsidRPr="00C90698">
        <w:rPr>
          <w:rFonts w:ascii="Arial" w:eastAsiaTheme="minorHAnsi" w:hAnsi="Arial" w:cs="Arial"/>
          <w:color w:val="000000" w:themeColor="text1"/>
          <w:lang w:eastAsia="en-US"/>
        </w:rPr>
        <w:t xml:space="preserve">human resources investigations into employment concerns, </w:t>
      </w:r>
    </w:p>
    <w:p w14:paraId="7BFDF4C7" w14:textId="77777777" w:rsidR="00C90698" w:rsidRDefault="00DA4129" w:rsidP="00C90698">
      <w:pPr>
        <w:pStyle w:val="ListParagraph"/>
        <w:numPr>
          <w:ilvl w:val="0"/>
          <w:numId w:val="26"/>
        </w:numPr>
        <w:spacing w:after="200" w:line="360" w:lineRule="auto"/>
        <w:rPr>
          <w:rFonts w:ascii="Arial" w:eastAsiaTheme="minorHAnsi" w:hAnsi="Arial" w:cs="Arial"/>
          <w:color w:val="000000" w:themeColor="text1"/>
          <w:lang w:eastAsia="en-US"/>
        </w:rPr>
      </w:pPr>
      <w:r w:rsidRPr="00C90698">
        <w:rPr>
          <w:rFonts w:ascii="Arial" w:eastAsiaTheme="minorHAnsi" w:hAnsi="Arial" w:cs="Arial"/>
          <w:color w:val="000000" w:themeColor="text1"/>
          <w:lang w:eastAsia="en-US"/>
        </w:rPr>
        <w:t>professional standards investigations,</w:t>
      </w:r>
    </w:p>
    <w:p w14:paraId="7BD4A164" w14:textId="77777777" w:rsidR="00C90698" w:rsidRDefault="00DA4129" w:rsidP="00C90698">
      <w:pPr>
        <w:pStyle w:val="ListParagraph"/>
        <w:numPr>
          <w:ilvl w:val="0"/>
          <w:numId w:val="26"/>
        </w:numPr>
        <w:spacing w:after="200" w:line="360" w:lineRule="auto"/>
        <w:rPr>
          <w:rFonts w:ascii="Arial" w:eastAsiaTheme="minorHAnsi" w:hAnsi="Arial" w:cs="Arial"/>
          <w:color w:val="000000" w:themeColor="text1"/>
          <w:lang w:eastAsia="en-US"/>
        </w:rPr>
      </w:pPr>
      <w:r w:rsidRPr="00C90698">
        <w:rPr>
          <w:rFonts w:ascii="Arial" w:eastAsiaTheme="minorHAnsi" w:hAnsi="Arial" w:cs="Arial"/>
          <w:color w:val="000000" w:themeColor="text1"/>
          <w:lang w:eastAsia="en-US"/>
        </w:rPr>
        <w:t>information governance concerns</w:t>
      </w:r>
    </w:p>
    <w:p w14:paraId="7862FC93" w14:textId="77777777" w:rsidR="00C90698" w:rsidRDefault="00DA4129" w:rsidP="00C90698">
      <w:pPr>
        <w:pStyle w:val="ListParagraph"/>
        <w:numPr>
          <w:ilvl w:val="0"/>
          <w:numId w:val="26"/>
        </w:numPr>
        <w:spacing w:after="200" w:line="360" w:lineRule="auto"/>
        <w:rPr>
          <w:rFonts w:ascii="Arial" w:eastAsiaTheme="minorHAnsi" w:hAnsi="Arial" w:cs="Arial"/>
          <w:color w:val="000000" w:themeColor="text1"/>
          <w:lang w:eastAsia="en-US"/>
        </w:rPr>
      </w:pPr>
      <w:r w:rsidRPr="00C90698">
        <w:rPr>
          <w:rFonts w:ascii="Arial" w:eastAsiaTheme="minorHAnsi" w:hAnsi="Arial" w:cs="Arial"/>
          <w:color w:val="000000" w:themeColor="text1"/>
          <w:lang w:eastAsia="en-US"/>
        </w:rPr>
        <w:t>estates and facilities concern</w:t>
      </w:r>
    </w:p>
    <w:p w14:paraId="58CCCBD0" w14:textId="77777777" w:rsidR="00C90698" w:rsidRDefault="00DA4129" w:rsidP="00C90698">
      <w:pPr>
        <w:pStyle w:val="ListParagraph"/>
        <w:numPr>
          <w:ilvl w:val="0"/>
          <w:numId w:val="26"/>
        </w:numPr>
        <w:spacing w:after="200" w:line="360" w:lineRule="auto"/>
        <w:rPr>
          <w:rFonts w:ascii="Arial" w:eastAsiaTheme="minorHAnsi" w:hAnsi="Arial" w:cs="Arial"/>
          <w:color w:val="000000" w:themeColor="text1"/>
          <w:lang w:eastAsia="en-US"/>
        </w:rPr>
      </w:pPr>
      <w:r w:rsidRPr="00C90698">
        <w:rPr>
          <w:rFonts w:ascii="Arial" w:eastAsiaTheme="minorHAnsi" w:hAnsi="Arial" w:cs="Arial"/>
          <w:color w:val="000000" w:themeColor="text1"/>
          <w:lang w:eastAsia="en-US"/>
        </w:rPr>
        <w:t>financial investigations and audits</w:t>
      </w:r>
    </w:p>
    <w:p w14:paraId="1B0CE75E" w14:textId="77777777" w:rsidR="00C90698" w:rsidRDefault="00DA4129" w:rsidP="00C90698">
      <w:pPr>
        <w:pStyle w:val="ListParagraph"/>
        <w:numPr>
          <w:ilvl w:val="0"/>
          <w:numId w:val="26"/>
        </w:numPr>
        <w:spacing w:after="200" w:line="360" w:lineRule="auto"/>
        <w:rPr>
          <w:rFonts w:ascii="Arial" w:eastAsiaTheme="minorHAnsi" w:hAnsi="Arial" w:cs="Arial"/>
          <w:color w:val="000000" w:themeColor="text1"/>
          <w:lang w:eastAsia="en-US"/>
        </w:rPr>
      </w:pPr>
      <w:r w:rsidRPr="00C90698">
        <w:rPr>
          <w:rFonts w:ascii="Arial" w:eastAsiaTheme="minorHAnsi" w:hAnsi="Arial" w:cs="Arial"/>
          <w:color w:val="000000" w:themeColor="text1"/>
          <w:lang w:eastAsia="en-US"/>
        </w:rPr>
        <w:t>safeguarding concerns</w:t>
      </w:r>
    </w:p>
    <w:p w14:paraId="2F26A43F" w14:textId="77777777" w:rsidR="00C90698" w:rsidRDefault="00DA4129" w:rsidP="00C90698">
      <w:pPr>
        <w:pStyle w:val="ListParagraph"/>
        <w:numPr>
          <w:ilvl w:val="0"/>
          <w:numId w:val="26"/>
        </w:numPr>
        <w:spacing w:after="200" w:line="360" w:lineRule="auto"/>
        <w:rPr>
          <w:rFonts w:ascii="Arial" w:eastAsiaTheme="minorHAnsi" w:hAnsi="Arial" w:cs="Arial"/>
          <w:color w:val="000000" w:themeColor="text1"/>
          <w:lang w:eastAsia="en-US"/>
        </w:rPr>
      </w:pPr>
      <w:r w:rsidRPr="00C90698">
        <w:rPr>
          <w:rFonts w:ascii="Arial" w:eastAsiaTheme="minorHAnsi" w:hAnsi="Arial" w:cs="Arial"/>
          <w:color w:val="000000" w:themeColor="text1"/>
          <w:lang w:eastAsia="en-US"/>
        </w:rPr>
        <w:t>coronial inquests and criminal investigations</w:t>
      </w:r>
    </w:p>
    <w:p w14:paraId="6142544F" w14:textId="51B53106" w:rsidR="00DA4129" w:rsidRPr="00C90698" w:rsidRDefault="00DA4129" w:rsidP="00C90698">
      <w:pPr>
        <w:pStyle w:val="ListParagraph"/>
        <w:numPr>
          <w:ilvl w:val="0"/>
          <w:numId w:val="26"/>
        </w:numPr>
        <w:spacing w:after="200" w:line="360" w:lineRule="auto"/>
        <w:rPr>
          <w:rFonts w:ascii="Arial" w:eastAsiaTheme="minorHAnsi" w:hAnsi="Arial" w:cs="Arial"/>
          <w:color w:val="000000" w:themeColor="text1"/>
          <w:lang w:eastAsia="en-US"/>
        </w:rPr>
      </w:pPr>
      <w:r w:rsidRPr="00C90698">
        <w:rPr>
          <w:rFonts w:ascii="Arial" w:eastAsiaTheme="minorHAnsi" w:hAnsi="Arial" w:cs="Arial"/>
          <w:color w:val="000000" w:themeColor="text1"/>
          <w:lang w:eastAsia="en-US"/>
        </w:rPr>
        <w:t>complaints (except where a significant patient safety concern is highlighted)</w:t>
      </w:r>
    </w:p>
    <w:p w14:paraId="48A936F0" w14:textId="4C28AD3C" w:rsidR="00DA4129" w:rsidRDefault="00DA4129" w:rsidP="00C90698">
      <w:pPr>
        <w:spacing w:after="200" w:line="360" w:lineRule="auto"/>
        <w:ind w:left="-57"/>
        <w:rPr>
          <w:rFonts w:ascii="Arial" w:eastAsiaTheme="minorHAnsi" w:hAnsi="Arial" w:cs="Arial"/>
          <w:color w:val="000000" w:themeColor="text1"/>
          <w:lang w:eastAsia="en-US"/>
        </w:rPr>
      </w:pPr>
      <w:r w:rsidRPr="007029DD">
        <w:rPr>
          <w:rFonts w:ascii="Arial" w:eastAsiaTheme="minorHAnsi" w:hAnsi="Arial" w:cs="Arial"/>
          <w:color w:val="000000" w:themeColor="text1"/>
          <w:lang w:eastAsia="en-US"/>
        </w:rPr>
        <w:t xml:space="preserve">For clarity, the </w:t>
      </w:r>
      <w:r w:rsidR="0097014E">
        <w:rPr>
          <w:rFonts w:ascii="Arial" w:eastAsiaTheme="minorHAnsi" w:hAnsi="Arial" w:cs="Arial"/>
          <w:color w:val="000000" w:themeColor="text1"/>
          <w:lang w:eastAsia="en-US"/>
        </w:rPr>
        <w:t xml:space="preserve">ICB </w:t>
      </w:r>
      <w:r w:rsidR="0097014E" w:rsidRPr="007029DD">
        <w:rPr>
          <w:rFonts w:ascii="Arial" w:eastAsiaTheme="minorHAnsi" w:hAnsi="Arial" w:cs="Arial"/>
          <w:color w:val="000000" w:themeColor="text1"/>
          <w:lang w:eastAsia="en-US"/>
        </w:rPr>
        <w:t>considers</w:t>
      </w:r>
      <w:r w:rsidRPr="007029DD">
        <w:rPr>
          <w:rFonts w:ascii="Arial" w:eastAsiaTheme="minorHAnsi" w:hAnsi="Arial" w:cs="Arial"/>
          <w:color w:val="000000" w:themeColor="text1"/>
          <w:lang w:eastAsia="en-US"/>
        </w:rPr>
        <w:t xml:space="preserve"> these processes as separate from any patient safety investigation. Information from a patient safety response process can be shared with those leading other types of responses, but other processes should not influence the remit of a patient safety incident response.</w:t>
      </w:r>
    </w:p>
    <w:p w14:paraId="593C3E5A" w14:textId="73A277F1" w:rsidR="00EF5DF9" w:rsidRDefault="00E83A85" w:rsidP="00F36657">
      <w:pPr>
        <w:spacing w:after="200" w:line="360" w:lineRule="auto"/>
        <w:ind w:left="-57"/>
        <w:rPr>
          <w:rFonts w:ascii="Arial" w:eastAsiaTheme="minorHAnsi" w:hAnsi="Arial" w:cs="Arial"/>
          <w:color w:val="000000" w:themeColor="text1"/>
          <w:lang w:eastAsia="en-US"/>
        </w:rPr>
      </w:pPr>
      <w:r>
        <w:rPr>
          <w:rFonts w:ascii="Arial" w:eastAsiaTheme="minorHAnsi" w:hAnsi="Arial" w:cs="Arial"/>
          <w:color w:val="000000" w:themeColor="text1"/>
          <w:lang w:eastAsia="en-US"/>
        </w:rPr>
        <w:t>During the transition from the Serious Incident Framework (2015) to PSIRF providers will have some open investigations under the Serious Incident Framework (2015). These should be concluded under the Serious Incident Framework (2015), with all new incidents being managed under the PSIRF from the date of implementation agreed between the provider and the ICB.</w:t>
      </w:r>
      <w:bookmarkEnd w:id="4"/>
      <w:bookmarkEnd w:id="5"/>
      <w:bookmarkEnd w:id="6"/>
      <w:bookmarkEnd w:id="7"/>
      <w:bookmarkEnd w:id="8"/>
    </w:p>
    <w:p w14:paraId="3AE0547C" w14:textId="4B15DD4E" w:rsidR="00F36657" w:rsidRDefault="00F36657" w:rsidP="00F36657">
      <w:pPr>
        <w:spacing w:after="200" w:line="360" w:lineRule="auto"/>
        <w:ind w:left="-57"/>
        <w:rPr>
          <w:rFonts w:ascii="Arial" w:eastAsiaTheme="minorHAnsi" w:hAnsi="Arial" w:cs="Arial"/>
          <w:color w:val="000000" w:themeColor="text1"/>
          <w:lang w:eastAsia="en-US"/>
        </w:rPr>
      </w:pPr>
    </w:p>
    <w:p w14:paraId="20D7E562" w14:textId="47ED3D05" w:rsidR="00F36657" w:rsidRDefault="00F36657" w:rsidP="00F36657">
      <w:pPr>
        <w:spacing w:after="200" w:line="360" w:lineRule="auto"/>
        <w:ind w:left="-57"/>
        <w:rPr>
          <w:rFonts w:ascii="Arial" w:eastAsiaTheme="minorHAnsi" w:hAnsi="Arial" w:cs="Arial"/>
          <w:color w:val="000000" w:themeColor="text1"/>
          <w:lang w:eastAsia="en-US"/>
        </w:rPr>
      </w:pPr>
    </w:p>
    <w:p w14:paraId="734AC07B" w14:textId="15C71C75" w:rsidR="0036088A" w:rsidRDefault="0036088A" w:rsidP="00F36657">
      <w:pPr>
        <w:spacing w:after="200" w:line="360" w:lineRule="auto"/>
        <w:ind w:left="-57"/>
        <w:rPr>
          <w:rFonts w:ascii="Arial" w:eastAsiaTheme="minorHAnsi" w:hAnsi="Arial" w:cs="Arial"/>
          <w:color w:val="000000" w:themeColor="text1"/>
          <w:lang w:eastAsia="en-US"/>
        </w:rPr>
      </w:pPr>
    </w:p>
    <w:p w14:paraId="129B6C07" w14:textId="6F8C12DF" w:rsidR="0036088A" w:rsidRDefault="0036088A" w:rsidP="00F36657">
      <w:pPr>
        <w:spacing w:after="200" w:line="360" w:lineRule="auto"/>
        <w:ind w:left="-57"/>
        <w:rPr>
          <w:rFonts w:ascii="Arial" w:eastAsiaTheme="minorHAnsi" w:hAnsi="Arial" w:cs="Arial"/>
          <w:color w:val="000000" w:themeColor="text1"/>
          <w:lang w:eastAsia="en-US"/>
        </w:rPr>
      </w:pPr>
    </w:p>
    <w:p w14:paraId="6BBCD60B" w14:textId="77777777" w:rsidR="0036088A" w:rsidRDefault="0036088A" w:rsidP="00F36657">
      <w:pPr>
        <w:spacing w:after="200" w:line="360" w:lineRule="auto"/>
        <w:ind w:left="-57"/>
        <w:rPr>
          <w:rFonts w:ascii="Arial" w:eastAsiaTheme="minorHAnsi" w:hAnsi="Arial" w:cs="Arial"/>
          <w:color w:val="000000" w:themeColor="text1"/>
          <w:lang w:eastAsia="en-US"/>
        </w:rPr>
      </w:pPr>
    </w:p>
    <w:p w14:paraId="632E704E" w14:textId="00DFCCE9" w:rsidR="00D44B94" w:rsidRPr="00EA6422" w:rsidRDefault="004B16C4" w:rsidP="00C90698">
      <w:pPr>
        <w:pStyle w:val="Default"/>
        <w:spacing w:after="200" w:line="360" w:lineRule="auto"/>
        <w:ind w:left="-57"/>
        <w:rPr>
          <w:b/>
          <w:bCs/>
        </w:rPr>
      </w:pPr>
      <w:r w:rsidRPr="007029DD">
        <w:rPr>
          <w:b/>
          <w:bCs/>
          <w:sz w:val="22"/>
          <w:szCs w:val="22"/>
        </w:rPr>
        <w:lastRenderedPageBreak/>
        <w:t>4</w:t>
      </w:r>
      <w:r w:rsidR="003D7DFE" w:rsidRPr="007C603E">
        <w:rPr>
          <w:b/>
          <w:bCs/>
        </w:rPr>
        <w:t>.</w:t>
      </w:r>
      <w:r w:rsidR="00FB467B" w:rsidRPr="007C603E">
        <w:rPr>
          <w:b/>
          <w:bCs/>
        </w:rPr>
        <w:t>0</w:t>
      </w:r>
      <w:r w:rsidR="00994157" w:rsidRPr="007C603E">
        <w:rPr>
          <w:b/>
          <w:bCs/>
        </w:rPr>
        <w:t xml:space="preserve"> </w:t>
      </w:r>
      <w:r w:rsidR="007C226F" w:rsidRPr="007C603E">
        <w:rPr>
          <w:b/>
          <w:bCs/>
        </w:rPr>
        <w:tab/>
        <w:t>Role</w:t>
      </w:r>
      <w:r w:rsidR="00D412E6" w:rsidRPr="007C603E">
        <w:rPr>
          <w:b/>
          <w:bCs/>
        </w:rPr>
        <w:t>s</w:t>
      </w:r>
      <w:r w:rsidR="007C226F" w:rsidRPr="007C603E">
        <w:rPr>
          <w:b/>
          <w:bCs/>
        </w:rPr>
        <w:t xml:space="preserve"> and Responsibilities</w:t>
      </w:r>
    </w:p>
    <w:p w14:paraId="7422290A" w14:textId="6E7F672D" w:rsidR="00C90698" w:rsidRPr="00E245B0" w:rsidRDefault="00501FB6" w:rsidP="00C90698">
      <w:pPr>
        <w:pStyle w:val="Default"/>
        <w:spacing w:after="200" w:line="360" w:lineRule="auto"/>
        <w:ind w:left="-57"/>
        <w:rPr>
          <w:color w:val="auto"/>
        </w:rPr>
      </w:pPr>
      <w:r w:rsidRPr="00E245B0">
        <w:rPr>
          <w:b/>
          <w:bCs/>
          <w:color w:val="auto"/>
        </w:rPr>
        <w:t>4.1 NHS</w:t>
      </w:r>
      <w:r w:rsidR="00EF5DF9">
        <w:rPr>
          <w:b/>
          <w:bCs/>
          <w:color w:val="auto"/>
        </w:rPr>
        <w:t xml:space="preserve"> England</w:t>
      </w:r>
      <w:r w:rsidRPr="00E245B0">
        <w:rPr>
          <w:b/>
          <w:bCs/>
          <w:color w:val="auto"/>
        </w:rPr>
        <w:t xml:space="preserve"> </w:t>
      </w:r>
      <w:r w:rsidR="00EF5DF9">
        <w:rPr>
          <w:b/>
          <w:bCs/>
          <w:color w:val="auto"/>
        </w:rPr>
        <w:t>N</w:t>
      </w:r>
      <w:r w:rsidRPr="00E245B0">
        <w:rPr>
          <w:b/>
          <w:bCs/>
          <w:color w:val="auto"/>
        </w:rPr>
        <w:t xml:space="preserve">ational </w:t>
      </w:r>
      <w:r w:rsidR="00EF5DF9">
        <w:rPr>
          <w:b/>
          <w:bCs/>
          <w:color w:val="auto"/>
        </w:rPr>
        <w:t>T</w:t>
      </w:r>
      <w:r w:rsidRPr="00E245B0">
        <w:rPr>
          <w:b/>
          <w:bCs/>
          <w:color w:val="auto"/>
        </w:rPr>
        <w:t xml:space="preserve">eam </w:t>
      </w:r>
    </w:p>
    <w:p w14:paraId="78F242BB" w14:textId="3EE55295" w:rsidR="00501FB6" w:rsidRPr="00C90698" w:rsidRDefault="00501FB6" w:rsidP="00C90698">
      <w:pPr>
        <w:pStyle w:val="Default"/>
        <w:spacing w:after="200" w:line="360" w:lineRule="auto"/>
        <w:ind w:left="-57"/>
      </w:pPr>
      <w:r w:rsidRPr="007029DD">
        <w:rPr>
          <w:sz w:val="22"/>
          <w:szCs w:val="22"/>
        </w:rPr>
        <w:t>NHS</w:t>
      </w:r>
      <w:r w:rsidR="00EF5DF9">
        <w:rPr>
          <w:sz w:val="22"/>
          <w:szCs w:val="22"/>
        </w:rPr>
        <w:t xml:space="preserve"> </w:t>
      </w:r>
      <w:r w:rsidRPr="007029DD">
        <w:rPr>
          <w:sz w:val="22"/>
          <w:szCs w:val="22"/>
        </w:rPr>
        <w:t>E</w:t>
      </w:r>
      <w:r w:rsidR="00EF5DF9">
        <w:rPr>
          <w:sz w:val="22"/>
          <w:szCs w:val="22"/>
        </w:rPr>
        <w:t>ngland (NHSE)</w:t>
      </w:r>
      <w:r w:rsidRPr="007029DD">
        <w:rPr>
          <w:sz w:val="22"/>
          <w:szCs w:val="22"/>
        </w:rPr>
        <w:t xml:space="preserve"> national team will oversee the activity of regional teams to support effective response to patient safety incidents, providing strategic direction and leadership while monitoring effectiveness of PSIRF.</w:t>
      </w:r>
    </w:p>
    <w:p w14:paraId="01BD5530" w14:textId="3ADBC59F" w:rsidR="00501FB6" w:rsidRPr="00E245B0" w:rsidRDefault="00501FB6" w:rsidP="00C90698">
      <w:pPr>
        <w:pStyle w:val="Default"/>
        <w:spacing w:after="200" w:line="360" w:lineRule="auto"/>
        <w:ind w:left="-57"/>
        <w:rPr>
          <w:color w:val="auto"/>
        </w:rPr>
      </w:pPr>
      <w:r w:rsidRPr="00E245B0">
        <w:rPr>
          <w:b/>
          <w:bCs/>
          <w:color w:val="auto"/>
        </w:rPr>
        <w:t>4.2 NHS</w:t>
      </w:r>
      <w:r w:rsidR="00EF5DF9">
        <w:rPr>
          <w:b/>
          <w:bCs/>
          <w:color w:val="auto"/>
        </w:rPr>
        <w:t xml:space="preserve"> </w:t>
      </w:r>
      <w:r w:rsidRPr="00E245B0">
        <w:rPr>
          <w:b/>
          <w:bCs/>
          <w:color w:val="auto"/>
        </w:rPr>
        <w:t>E</w:t>
      </w:r>
      <w:r w:rsidR="00EF5DF9">
        <w:rPr>
          <w:b/>
          <w:bCs/>
          <w:color w:val="auto"/>
        </w:rPr>
        <w:t>ngland</w:t>
      </w:r>
      <w:r w:rsidRPr="00E245B0">
        <w:rPr>
          <w:b/>
          <w:bCs/>
          <w:color w:val="auto"/>
        </w:rPr>
        <w:t xml:space="preserve"> </w:t>
      </w:r>
      <w:r w:rsidR="00EF5DF9">
        <w:rPr>
          <w:b/>
          <w:bCs/>
          <w:color w:val="auto"/>
        </w:rPr>
        <w:t>R</w:t>
      </w:r>
      <w:r w:rsidRPr="00E245B0">
        <w:rPr>
          <w:b/>
          <w:bCs/>
          <w:color w:val="auto"/>
        </w:rPr>
        <w:t xml:space="preserve">egional </w:t>
      </w:r>
      <w:r w:rsidR="00EF5DF9">
        <w:rPr>
          <w:b/>
          <w:bCs/>
          <w:color w:val="auto"/>
        </w:rPr>
        <w:t>T</w:t>
      </w:r>
      <w:r w:rsidRPr="00E245B0">
        <w:rPr>
          <w:b/>
          <w:bCs/>
          <w:color w:val="auto"/>
        </w:rPr>
        <w:t xml:space="preserve">eam </w:t>
      </w:r>
    </w:p>
    <w:p w14:paraId="5C8D7776" w14:textId="0660A95C" w:rsidR="009A5C27" w:rsidRPr="007029DD" w:rsidRDefault="00501FB6" w:rsidP="008547E0">
      <w:pPr>
        <w:pStyle w:val="Default"/>
        <w:spacing w:after="200" w:line="360" w:lineRule="auto"/>
        <w:ind w:left="-57"/>
        <w:rPr>
          <w:sz w:val="22"/>
          <w:szCs w:val="22"/>
        </w:rPr>
      </w:pPr>
      <w:r w:rsidRPr="007029DD">
        <w:rPr>
          <w:sz w:val="22"/>
          <w:szCs w:val="22"/>
        </w:rPr>
        <w:t>The NHSE regional teams will support ICB PSIRF leads with the learning system within NHSE. To support co-ordination of system wide responses to patient safety incidents</w:t>
      </w:r>
    </w:p>
    <w:p w14:paraId="55EDC7D8" w14:textId="118093A3" w:rsidR="00111566" w:rsidRPr="00E245B0" w:rsidRDefault="00111566" w:rsidP="00C90698">
      <w:pPr>
        <w:autoSpaceDE w:val="0"/>
        <w:autoSpaceDN w:val="0"/>
        <w:adjustRightInd w:val="0"/>
        <w:spacing w:after="200" w:line="360" w:lineRule="auto"/>
        <w:ind w:left="-57"/>
        <w:rPr>
          <w:rFonts w:ascii="Arial" w:eastAsiaTheme="minorHAnsi" w:hAnsi="Arial" w:cs="Arial"/>
          <w:b/>
          <w:bCs/>
          <w:sz w:val="24"/>
          <w:szCs w:val="24"/>
          <w:lang w:eastAsia="en-US"/>
        </w:rPr>
      </w:pPr>
      <w:r w:rsidRPr="00E245B0">
        <w:rPr>
          <w:rFonts w:ascii="Arial" w:eastAsiaTheme="minorHAnsi" w:hAnsi="Arial" w:cs="Arial"/>
          <w:b/>
          <w:bCs/>
          <w:sz w:val="24"/>
          <w:szCs w:val="24"/>
          <w:lang w:eastAsia="en-US"/>
        </w:rPr>
        <w:t xml:space="preserve">4.3 Integrated </w:t>
      </w:r>
      <w:r w:rsidR="00492AB7">
        <w:rPr>
          <w:rFonts w:ascii="Arial" w:eastAsiaTheme="minorHAnsi" w:hAnsi="Arial" w:cs="Arial"/>
          <w:b/>
          <w:bCs/>
          <w:sz w:val="24"/>
          <w:szCs w:val="24"/>
          <w:lang w:eastAsia="en-US"/>
        </w:rPr>
        <w:t>C</w:t>
      </w:r>
      <w:r w:rsidRPr="00E245B0">
        <w:rPr>
          <w:rFonts w:ascii="Arial" w:eastAsiaTheme="minorHAnsi" w:hAnsi="Arial" w:cs="Arial"/>
          <w:b/>
          <w:bCs/>
          <w:sz w:val="24"/>
          <w:szCs w:val="24"/>
          <w:lang w:eastAsia="en-US"/>
        </w:rPr>
        <w:t xml:space="preserve">are </w:t>
      </w:r>
      <w:r w:rsidR="00492AB7">
        <w:rPr>
          <w:rFonts w:ascii="Arial" w:eastAsiaTheme="minorHAnsi" w:hAnsi="Arial" w:cs="Arial"/>
          <w:b/>
          <w:bCs/>
          <w:sz w:val="24"/>
          <w:szCs w:val="24"/>
          <w:lang w:eastAsia="en-US"/>
        </w:rPr>
        <w:t>B</w:t>
      </w:r>
      <w:r w:rsidRPr="00E245B0">
        <w:rPr>
          <w:rFonts w:ascii="Arial" w:eastAsiaTheme="minorHAnsi" w:hAnsi="Arial" w:cs="Arial"/>
          <w:b/>
          <w:bCs/>
          <w:sz w:val="24"/>
          <w:szCs w:val="24"/>
          <w:lang w:eastAsia="en-US"/>
        </w:rPr>
        <w:t xml:space="preserve">oard </w:t>
      </w:r>
    </w:p>
    <w:p w14:paraId="46F2C122" w14:textId="77777777" w:rsidR="00492AB7" w:rsidRPr="00EF5DF9" w:rsidRDefault="00492AB7" w:rsidP="00EF5DF9">
      <w:pPr>
        <w:pStyle w:val="ListParagraph"/>
        <w:numPr>
          <w:ilvl w:val="0"/>
          <w:numId w:val="44"/>
        </w:numPr>
        <w:spacing w:line="360" w:lineRule="auto"/>
        <w:rPr>
          <w:rFonts w:ascii="Arial" w:eastAsiaTheme="minorHAnsi" w:hAnsi="Arial" w:cs="Arial"/>
          <w:lang w:eastAsia="en-US"/>
        </w:rPr>
      </w:pPr>
      <w:r w:rsidRPr="00EF5DF9">
        <w:rPr>
          <w:rFonts w:ascii="Arial" w:eastAsiaTheme="minorHAnsi" w:hAnsi="Arial" w:cs="Arial"/>
          <w:lang w:eastAsia="en-US"/>
        </w:rPr>
        <w:t xml:space="preserve">Assess effectiveness of systems and processes to respond to patient safety incidents in NHS funded provider services as demonstrated by the behaviours of openness and transparency; the existence of a just culture; evidence of continuous learning and improvement. </w:t>
      </w:r>
    </w:p>
    <w:p w14:paraId="644AA284" w14:textId="608EC8A4" w:rsidR="008547E0" w:rsidRPr="00EF5DF9" w:rsidRDefault="008547E0" w:rsidP="00EF5DF9">
      <w:pPr>
        <w:pStyle w:val="ListParagraph"/>
        <w:numPr>
          <w:ilvl w:val="0"/>
          <w:numId w:val="44"/>
        </w:numPr>
        <w:spacing w:line="360" w:lineRule="auto"/>
        <w:rPr>
          <w:rFonts w:ascii="Arial" w:eastAsiaTheme="minorHAnsi" w:hAnsi="Arial" w:cs="Arial"/>
          <w:lang w:eastAsia="en-US"/>
        </w:rPr>
      </w:pPr>
      <w:r w:rsidRPr="00EF5DF9">
        <w:rPr>
          <w:rFonts w:ascii="Arial" w:eastAsiaTheme="minorHAnsi" w:hAnsi="Arial" w:cs="Arial"/>
          <w:lang w:eastAsia="en-US"/>
        </w:rPr>
        <w:t xml:space="preserve">Collaborate with providers in the development, maintenance and review of provider patient safety incident response policies and </w:t>
      </w:r>
      <w:proofErr w:type="gramStart"/>
      <w:r w:rsidRPr="00EF5DF9">
        <w:rPr>
          <w:rFonts w:ascii="Arial" w:eastAsiaTheme="minorHAnsi" w:hAnsi="Arial" w:cs="Arial"/>
          <w:lang w:eastAsia="en-US"/>
        </w:rPr>
        <w:t>plans</w:t>
      </w:r>
      <w:proofErr w:type="gramEnd"/>
    </w:p>
    <w:p w14:paraId="1E498D41" w14:textId="0AA09968" w:rsidR="008547E0" w:rsidRPr="00EF5DF9" w:rsidRDefault="008547E0" w:rsidP="00EF5DF9">
      <w:pPr>
        <w:pStyle w:val="ListParagraph"/>
        <w:numPr>
          <w:ilvl w:val="0"/>
          <w:numId w:val="44"/>
        </w:numPr>
        <w:spacing w:line="360" w:lineRule="auto"/>
        <w:rPr>
          <w:rFonts w:ascii="Arial" w:eastAsiaTheme="minorHAnsi" w:hAnsi="Arial" w:cs="Arial"/>
          <w:lang w:eastAsia="en-US"/>
        </w:rPr>
      </w:pPr>
      <w:r w:rsidRPr="00EF5DF9">
        <w:rPr>
          <w:rFonts w:ascii="Arial" w:eastAsiaTheme="minorHAnsi" w:hAnsi="Arial" w:cs="Arial"/>
          <w:lang w:eastAsia="en-US"/>
        </w:rPr>
        <w:t>Agree provider patient safety incident response policy and plans</w:t>
      </w:r>
      <w:r w:rsidR="00492AB7" w:rsidRPr="00EF5DF9">
        <w:rPr>
          <w:rFonts w:ascii="Arial" w:eastAsiaTheme="minorHAnsi" w:hAnsi="Arial" w:cs="Arial"/>
          <w:lang w:eastAsia="en-US"/>
        </w:rPr>
        <w:t xml:space="preserve"> including regular review of updated plans and progress against improvement plans</w:t>
      </w:r>
      <w:r w:rsidR="00D01126" w:rsidRPr="00EF5DF9">
        <w:rPr>
          <w:rFonts w:ascii="Arial" w:eastAsiaTheme="minorHAnsi" w:hAnsi="Arial" w:cs="Arial"/>
          <w:lang w:eastAsia="en-US"/>
        </w:rPr>
        <w:t xml:space="preserve"> </w:t>
      </w:r>
      <w:r w:rsidR="00D01126" w:rsidRPr="003F3E3F">
        <w:rPr>
          <w:rFonts w:ascii="Arial" w:eastAsiaTheme="minorHAnsi" w:hAnsi="Arial" w:cs="Arial"/>
          <w:lang w:eastAsia="en-US"/>
        </w:rPr>
        <w:t>(see section</w:t>
      </w:r>
      <w:r w:rsidR="003F3E3F" w:rsidRPr="003F3E3F">
        <w:rPr>
          <w:rFonts w:ascii="Arial" w:eastAsiaTheme="minorHAnsi" w:hAnsi="Arial" w:cs="Arial"/>
          <w:lang w:eastAsia="en-US"/>
        </w:rPr>
        <w:t>s 7 and 8</w:t>
      </w:r>
      <w:r w:rsidR="00D01126" w:rsidRPr="003F3E3F">
        <w:rPr>
          <w:rFonts w:ascii="Arial" w:eastAsiaTheme="minorHAnsi" w:hAnsi="Arial" w:cs="Arial"/>
          <w:lang w:eastAsia="en-US"/>
        </w:rPr>
        <w:t xml:space="preserve"> for further details)</w:t>
      </w:r>
    </w:p>
    <w:p w14:paraId="13617154" w14:textId="211747B7" w:rsidR="00E83A85" w:rsidRDefault="008547E0" w:rsidP="00EF5DF9">
      <w:pPr>
        <w:pStyle w:val="ListParagraph"/>
        <w:numPr>
          <w:ilvl w:val="0"/>
          <w:numId w:val="44"/>
        </w:numPr>
        <w:spacing w:line="360" w:lineRule="auto"/>
        <w:rPr>
          <w:rFonts w:ascii="Arial" w:eastAsiaTheme="minorHAnsi" w:hAnsi="Arial" w:cs="Arial"/>
          <w:lang w:eastAsia="en-US"/>
        </w:rPr>
      </w:pPr>
      <w:r w:rsidRPr="00EF5DF9">
        <w:rPr>
          <w:rFonts w:ascii="Arial" w:eastAsiaTheme="minorHAnsi" w:hAnsi="Arial" w:cs="Arial"/>
          <w:lang w:eastAsia="en-US"/>
        </w:rPr>
        <w:t xml:space="preserve">Oversee and support effectiveness of systems to achieve improvement following patient safety </w:t>
      </w:r>
      <w:proofErr w:type="gramStart"/>
      <w:r w:rsidRPr="00EF5DF9">
        <w:rPr>
          <w:rFonts w:ascii="Arial" w:eastAsiaTheme="minorHAnsi" w:hAnsi="Arial" w:cs="Arial"/>
          <w:lang w:eastAsia="en-US"/>
        </w:rPr>
        <w:t>incidents</w:t>
      </w:r>
      <w:proofErr w:type="gramEnd"/>
    </w:p>
    <w:p w14:paraId="15270842" w14:textId="36D9CFC6" w:rsidR="00BD6113" w:rsidRPr="00EF5DF9" w:rsidRDefault="00BD6113" w:rsidP="00EF5DF9">
      <w:pPr>
        <w:pStyle w:val="ListParagraph"/>
        <w:numPr>
          <w:ilvl w:val="0"/>
          <w:numId w:val="44"/>
        </w:numPr>
        <w:spacing w:line="360" w:lineRule="auto"/>
        <w:rPr>
          <w:rFonts w:ascii="Arial" w:eastAsiaTheme="minorHAnsi" w:hAnsi="Arial" w:cs="Arial"/>
          <w:lang w:eastAsia="en-US"/>
        </w:rPr>
      </w:pPr>
      <w:r>
        <w:rPr>
          <w:rFonts w:ascii="Arial" w:eastAsiaTheme="minorHAnsi" w:hAnsi="Arial" w:cs="Arial"/>
          <w:lang w:eastAsia="en-US"/>
        </w:rPr>
        <w:t>Work with local Health and Care Partnerships (HCPs) to identify and share system and local themes and learning to drive improvement.</w:t>
      </w:r>
    </w:p>
    <w:p w14:paraId="78792D06" w14:textId="312FDEF1" w:rsidR="00492AB7" w:rsidRPr="00EF5DF9" w:rsidRDefault="008547E0" w:rsidP="00EF5DF9">
      <w:pPr>
        <w:pStyle w:val="ListParagraph"/>
        <w:numPr>
          <w:ilvl w:val="0"/>
          <w:numId w:val="44"/>
        </w:numPr>
        <w:spacing w:line="360" w:lineRule="auto"/>
        <w:rPr>
          <w:rFonts w:ascii="Arial" w:eastAsiaTheme="minorHAnsi" w:hAnsi="Arial" w:cs="Arial"/>
          <w:lang w:eastAsia="en-US"/>
        </w:rPr>
      </w:pPr>
      <w:r w:rsidRPr="00EF5DF9">
        <w:rPr>
          <w:rFonts w:ascii="Arial" w:eastAsiaTheme="minorHAnsi" w:hAnsi="Arial" w:cs="Arial"/>
          <w:lang w:eastAsia="en-US"/>
        </w:rPr>
        <w:t>Support co-ordination of cross-system learning responses</w:t>
      </w:r>
      <w:r w:rsidR="00492AB7" w:rsidRPr="00EF5DF9">
        <w:rPr>
          <w:rFonts w:ascii="Arial" w:eastAsiaTheme="minorHAnsi" w:hAnsi="Arial" w:cs="Arial"/>
          <w:lang w:eastAsia="en-US"/>
        </w:rPr>
        <w:t xml:space="preserve"> where activity cannot be managed at the provider level because the incident is unusually complex, </w:t>
      </w:r>
      <w:proofErr w:type="gramStart"/>
      <w:r w:rsidR="00492AB7" w:rsidRPr="00EF5DF9">
        <w:rPr>
          <w:rFonts w:ascii="Arial" w:eastAsiaTheme="minorHAnsi" w:hAnsi="Arial" w:cs="Arial"/>
          <w:lang w:eastAsia="en-US"/>
        </w:rPr>
        <w:t>difficult</w:t>
      </w:r>
      <w:proofErr w:type="gramEnd"/>
      <w:r w:rsidR="00492AB7" w:rsidRPr="00EF5DF9">
        <w:rPr>
          <w:rFonts w:ascii="Arial" w:eastAsiaTheme="minorHAnsi" w:hAnsi="Arial" w:cs="Arial"/>
          <w:lang w:eastAsia="en-US"/>
        </w:rPr>
        <w:t xml:space="preserve"> or costly to manage due to multiple providers and or services being involved across a care pathway. </w:t>
      </w:r>
    </w:p>
    <w:p w14:paraId="0F76FECA" w14:textId="05E2BEFE" w:rsidR="008547E0" w:rsidRPr="00EF5DF9" w:rsidRDefault="00492AB7" w:rsidP="00EF5DF9">
      <w:pPr>
        <w:pStyle w:val="ListParagraph"/>
        <w:numPr>
          <w:ilvl w:val="0"/>
          <w:numId w:val="44"/>
        </w:numPr>
        <w:spacing w:line="360" w:lineRule="auto"/>
        <w:rPr>
          <w:rFonts w:ascii="Arial" w:eastAsiaTheme="minorHAnsi" w:hAnsi="Arial" w:cs="Arial"/>
          <w:lang w:eastAsia="en-US"/>
        </w:rPr>
      </w:pPr>
      <w:r w:rsidRPr="00EF5DF9">
        <w:rPr>
          <w:rFonts w:ascii="Arial" w:eastAsiaTheme="minorHAnsi" w:hAnsi="Arial" w:cs="Arial"/>
          <w:lang w:eastAsia="en-US"/>
        </w:rPr>
        <w:t xml:space="preserve">Provide improvement advice where weaknesses are identified in a provider’s systems and processes for responding to patient safety incidents. </w:t>
      </w:r>
    </w:p>
    <w:p w14:paraId="63193DCF" w14:textId="30A72B9C" w:rsidR="008547E0" w:rsidRPr="00EF5DF9" w:rsidRDefault="008547E0" w:rsidP="00EF5DF9">
      <w:pPr>
        <w:pStyle w:val="ListParagraph"/>
        <w:numPr>
          <w:ilvl w:val="0"/>
          <w:numId w:val="44"/>
        </w:numPr>
        <w:spacing w:line="360" w:lineRule="auto"/>
        <w:rPr>
          <w:rFonts w:ascii="Arial" w:eastAsiaTheme="minorHAnsi" w:hAnsi="Arial" w:cs="Arial"/>
          <w:lang w:eastAsia="en-US"/>
        </w:rPr>
      </w:pPr>
      <w:r w:rsidRPr="00EF5DF9">
        <w:rPr>
          <w:rFonts w:ascii="Arial" w:eastAsiaTheme="minorHAnsi" w:hAnsi="Arial" w:cs="Arial"/>
          <w:lang w:eastAsia="en-US"/>
        </w:rPr>
        <w:t>Share insights and information across organisations/services to improve safety</w:t>
      </w:r>
      <w:r w:rsidR="00492AB7" w:rsidRPr="00EF5DF9">
        <w:rPr>
          <w:rFonts w:ascii="Arial" w:eastAsiaTheme="minorHAnsi" w:hAnsi="Arial" w:cs="Arial"/>
          <w:lang w:eastAsia="en-US"/>
        </w:rPr>
        <w:t xml:space="preserve"> including examples where providers have demonstrably improved care or reduced </w:t>
      </w:r>
      <w:proofErr w:type="gramStart"/>
      <w:r w:rsidR="00492AB7" w:rsidRPr="00EF5DF9">
        <w:rPr>
          <w:rFonts w:ascii="Arial" w:eastAsiaTheme="minorHAnsi" w:hAnsi="Arial" w:cs="Arial"/>
          <w:lang w:eastAsia="en-US"/>
        </w:rPr>
        <w:t>risk</w:t>
      </w:r>
      <w:proofErr w:type="gramEnd"/>
    </w:p>
    <w:p w14:paraId="47D3436C" w14:textId="324A7221" w:rsidR="00EA6422" w:rsidRPr="00EF5DF9" w:rsidRDefault="00E83A85" w:rsidP="00EF5DF9">
      <w:pPr>
        <w:pStyle w:val="ListParagraph"/>
        <w:numPr>
          <w:ilvl w:val="0"/>
          <w:numId w:val="44"/>
        </w:numPr>
        <w:spacing w:line="360" w:lineRule="auto"/>
        <w:rPr>
          <w:rFonts w:ascii="Arial" w:eastAsiaTheme="minorHAnsi" w:hAnsi="Arial" w:cs="Arial"/>
          <w:lang w:eastAsia="en-US"/>
        </w:rPr>
      </w:pPr>
      <w:r w:rsidRPr="00EF5DF9">
        <w:rPr>
          <w:rFonts w:ascii="Arial" w:eastAsiaTheme="minorHAnsi" w:hAnsi="Arial" w:cs="Arial"/>
          <w:lang w:eastAsia="en-US"/>
        </w:rPr>
        <w:lastRenderedPageBreak/>
        <w:t>Work with providers to identify high profile incidents or issues that are likely to attract media attention and support coordinated communication across relevant stakeholders. This includes communication teams at organisational, system and regional level as well as external stakeholders such as safeguarding leads or police.</w:t>
      </w:r>
    </w:p>
    <w:p w14:paraId="2C675040" w14:textId="7DB360BE" w:rsidR="00233148" w:rsidRDefault="00547B57" w:rsidP="00233148">
      <w:pPr>
        <w:pStyle w:val="Default"/>
        <w:spacing w:after="200" w:line="360" w:lineRule="auto"/>
        <w:ind w:left="-57"/>
        <w:rPr>
          <w:b/>
          <w:bCs/>
        </w:rPr>
      </w:pPr>
      <w:r w:rsidRPr="00233148">
        <w:rPr>
          <w:b/>
          <w:bCs/>
        </w:rPr>
        <w:t>4.</w:t>
      </w:r>
      <w:r w:rsidR="00EF5DF9">
        <w:rPr>
          <w:b/>
          <w:bCs/>
        </w:rPr>
        <w:t>4</w:t>
      </w:r>
      <w:r w:rsidRPr="00233148">
        <w:rPr>
          <w:b/>
          <w:bCs/>
        </w:rPr>
        <w:t xml:space="preserve"> </w:t>
      </w:r>
      <w:r w:rsidR="00F703F4" w:rsidRPr="00233148">
        <w:rPr>
          <w:b/>
          <w:bCs/>
        </w:rPr>
        <w:t xml:space="preserve">ICB Patient Safety Specialist </w:t>
      </w:r>
    </w:p>
    <w:p w14:paraId="6D10D48D" w14:textId="3C40E465" w:rsidR="00F703F4" w:rsidRPr="00FD5770" w:rsidRDefault="00F703F4" w:rsidP="00233148">
      <w:pPr>
        <w:pStyle w:val="Default"/>
        <w:spacing w:after="200" w:line="360" w:lineRule="auto"/>
        <w:ind w:left="-57"/>
        <w:rPr>
          <w:b/>
          <w:bCs/>
          <w:sz w:val="22"/>
          <w:szCs w:val="22"/>
        </w:rPr>
      </w:pPr>
      <w:r w:rsidRPr="00FD5770">
        <w:rPr>
          <w:sz w:val="22"/>
          <w:szCs w:val="22"/>
        </w:rPr>
        <w:t>The ICB P</w:t>
      </w:r>
      <w:r w:rsidR="00B213E3" w:rsidRPr="00FD5770">
        <w:rPr>
          <w:sz w:val="22"/>
          <w:szCs w:val="22"/>
        </w:rPr>
        <w:t xml:space="preserve">atient </w:t>
      </w:r>
      <w:r w:rsidRPr="00FD5770">
        <w:rPr>
          <w:sz w:val="22"/>
          <w:szCs w:val="22"/>
        </w:rPr>
        <w:t>S</w:t>
      </w:r>
      <w:r w:rsidR="00B213E3" w:rsidRPr="00FD5770">
        <w:rPr>
          <w:sz w:val="22"/>
          <w:szCs w:val="22"/>
        </w:rPr>
        <w:t xml:space="preserve">afety </w:t>
      </w:r>
      <w:r w:rsidRPr="00FD5770">
        <w:rPr>
          <w:sz w:val="22"/>
          <w:szCs w:val="22"/>
        </w:rPr>
        <w:t>S</w:t>
      </w:r>
      <w:r w:rsidR="00B213E3" w:rsidRPr="00FD5770">
        <w:rPr>
          <w:sz w:val="22"/>
          <w:szCs w:val="22"/>
        </w:rPr>
        <w:t xml:space="preserve">pecialist (PSS), with support </w:t>
      </w:r>
      <w:r w:rsidR="001C057E" w:rsidRPr="00FD5770">
        <w:rPr>
          <w:sz w:val="22"/>
          <w:szCs w:val="22"/>
        </w:rPr>
        <w:t>from</w:t>
      </w:r>
      <w:r w:rsidR="00B213E3" w:rsidRPr="00FD5770">
        <w:rPr>
          <w:sz w:val="22"/>
          <w:szCs w:val="22"/>
        </w:rPr>
        <w:t xml:space="preserve"> the</w:t>
      </w:r>
      <w:r w:rsidR="001C057E" w:rsidRPr="00FD5770">
        <w:rPr>
          <w:sz w:val="22"/>
          <w:szCs w:val="22"/>
        </w:rPr>
        <w:t xml:space="preserve"> wider</w:t>
      </w:r>
      <w:r w:rsidR="00B213E3" w:rsidRPr="00FD5770">
        <w:rPr>
          <w:sz w:val="22"/>
          <w:szCs w:val="22"/>
        </w:rPr>
        <w:t xml:space="preserve"> Nursing and Quality Team,</w:t>
      </w:r>
      <w:r w:rsidRPr="00FD5770">
        <w:rPr>
          <w:sz w:val="22"/>
          <w:szCs w:val="22"/>
        </w:rPr>
        <w:t xml:space="preserve"> will work collaboratively with the provider services across the system to develop, maintain and review each provider’s patient safety incident response policy and plan. </w:t>
      </w:r>
    </w:p>
    <w:p w14:paraId="39B71192" w14:textId="33E9F82F" w:rsidR="00F703F4" w:rsidRPr="00FD5770" w:rsidRDefault="00F703F4" w:rsidP="00233148">
      <w:pPr>
        <w:autoSpaceDE w:val="0"/>
        <w:autoSpaceDN w:val="0"/>
        <w:adjustRightInd w:val="0"/>
        <w:spacing w:after="200" w:line="360" w:lineRule="auto"/>
        <w:ind w:left="-57"/>
        <w:rPr>
          <w:rFonts w:ascii="Arial" w:hAnsi="Arial" w:cs="Arial"/>
          <w:color w:val="000000"/>
        </w:rPr>
      </w:pPr>
      <w:r w:rsidRPr="00FD5770">
        <w:rPr>
          <w:rFonts w:ascii="Arial" w:hAnsi="Arial" w:cs="Arial"/>
          <w:color w:val="000000"/>
        </w:rPr>
        <w:t xml:space="preserve">The ICB PSS lead will work as an integral collaborator with system providers to: </w:t>
      </w:r>
    </w:p>
    <w:p w14:paraId="1230948F" w14:textId="795E783A" w:rsidR="00233148" w:rsidRPr="00FD5770" w:rsidRDefault="00F703F4" w:rsidP="00233148">
      <w:pPr>
        <w:pStyle w:val="ListParagraph"/>
        <w:numPr>
          <w:ilvl w:val="0"/>
          <w:numId w:val="39"/>
        </w:numPr>
        <w:autoSpaceDE w:val="0"/>
        <w:autoSpaceDN w:val="0"/>
        <w:adjustRightInd w:val="0"/>
        <w:spacing w:after="200" w:line="360" w:lineRule="auto"/>
        <w:rPr>
          <w:rFonts w:ascii="Arial" w:hAnsi="Arial" w:cs="Arial"/>
          <w:color w:val="000000"/>
        </w:rPr>
      </w:pPr>
      <w:r w:rsidRPr="00FD5770">
        <w:rPr>
          <w:rFonts w:ascii="Arial" w:hAnsi="Arial" w:cs="Arial"/>
          <w:color w:val="000000"/>
        </w:rPr>
        <w:t xml:space="preserve">review the application of the national PSIRF </w:t>
      </w:r>
      <w:r w:rsidR="0097014E" w:rsidRPr="00FD5770">
        <w:rPr>
          <w:rFonts w:ascii="Arial" w:hAnsi="Arial" w:cs="Arial"/>
          <w:color w:val="000000"/>
        </w:rPr>
        <w:t>standards.</w:t>
      </w:r>
      <w:r w:rsidRPr="00FD5770">
        <w:rPr>
          <w:rFonts w:ascii="Arial" w:hAnsi="Arial" w:cs="Arial"/>
          <w:color w:val="000000"/>
        </w:rPr>
        <w:t xml:space="preserve"> </w:t>
      </w:r>
    </w:p>
    <w:p w14:paraId="34B986BD" w14:textId="17F5095A" w:rsidR="00233148" w:rsidRPr="00FD5770" w:rsidRDefault="00F703F4" w:rsidP="00233148">
      <w:pPr>
        <w:pStyle w:val="ListParagraph"/>
        <w:numPr>
          <w:ilvl w:val="0"/>
          <w:numId w:val="39"/>
        </w:numPr>
        <w:autoSpaceDE w:val="0"/>
        <w:autoSpaceDN w:val="0"/>
        <w:adjustRightInd w:val="0"/>
        <w:spacing w:after="200" w:line="360" w:lineRule="auto"/>
        <w:rPr>
          <w:rFonts w:ascii="Arial" w:hAnsi="Arial" w:cs="Arial"/>
          <w:color w:val="000000"/>
        </w:rPr>
      </w:pPr>
      <w:r w:rsidRPr="00FD5770">
        <w:rPr>
          <w:rFonts w:ascii="Arial" w:hAnsi="Arial" w:cs="Arial"/>
          <w:color w:val="000000"/>
        </w:rPr>
        <w:t xml:space="preserve">establish roles, responsibilities, and structures for oversight within the </w:t>
      </w:r>
      <w:r w:rsidR="0097014E" w:rsidRPr="00FD5770">
        <w:rPr>
          <w:rFonts w:ascii="Arial" w:hAnsi="Arial" w:cs="Arial"/>
          <w:color w:val="000000"/>
        </w:rPr>
        <w:t>system</w:t>
      </w:r>
      <w:r w:rsidR="00BD6113" w:rsidRPr="00FD5770">
        <w:rPr>
          <w:rFonts w:ascii="Arial" w:hAnsi="Arial" w:cs="Arial"/>
          <w:color w:val="000000"/>
        </w:rPr>
        <w:t xml:space="preserve"> at provider, HCP and ICB level</w:t>
      </w:r>
      <w:r w:rsidR="0097014E" w:rsidRPr="00FD5770">
        <w:rPr>
          <w:rFonts w:ascii="Arial" w:hAnsi="Arial" w:cs="Arial"/>
          <w:color w:val="000000"/>
        </w:rPr>
        <w:t>.</w:t>
      </w:r>
      <w:r w:rsidRPr="00FD5770">
        <w:rPr>
          <w:rFonts w:ascii="Arial" w:hAnsi="Arial" w:cs="Arial"/>
          <w:color w:val="000000"/>
        </w:rPr>
        <w:t xml:space="preserve"> </w:t>
      </w:r>
    </w:p>
    <w:p w14:paraId="3522674F" w14:textId="630967A6" w:rsidR="00F703F4" w:rsidRPr="00FD5770" w:rsidRDefault="00F703F4" w:rsidP="00233148">
      <w:pPr>
        <w:pStyle w:val="ListParagraph"/>
        <w:numPr>
          <w:ilvl w:val="0"/>
          <w:numId w:val="39"/>
        </w:numPr>
        <w:autoSpaceDE w:val="0"/>
        <w:autoSpaceDN w:val="0"/>
        <w:adjustRightInd w:val="0"/>
        <w:spacing w:after="200" w:line="360" w:lineRule="auto"/>
        <w:rPr>
          <w:rFonts w:ascii="Arial" w:hAnsi="Arial" w:cs="Arial"/>
          <w:color w:val="000000"/>
        </w:rPr>
      </w:pPr>
      <w:r w:rsidRPr="00FD5770">
        <w:rPr>
          <w:rFonts w:ascii="Arial" w:hAnsi="Arial" w:cs="Arial"/>
          <w:color w:val="000000"/>
        </w:rPr>
        <w:t xml:space="preserve">establish mechanisms for escalation of incidents and risks that may require support or action at system or regional </w:t>
      </w:r>
      <w:r w:rsidR="0097014E" w:rsidRPr="00FD5770">
        <w:rPr>
          <w:rFonts w:ascii="Arial" w:hAnsi="Arial" w:cs="Arial"/>
          <w:color w:val="000000"/>
        </w:rPr>
        <w:t>level.</w:t>
      </w:r>
      <w:r w:rsidRPr="00FD5770">
        <w:rPr>
          <w:rFonts w:ascii="Arial" w:hAnsi="Arial" w:cs="Arial"/>
          <w:color w:val="000000"/>
        </w:rPr>
        <w:t xml:space="preserve"> </w:t>
      </w:r>
    </w:p>
    <w:p w14:paraId="08F2620A" w14:textId="700F5FE0" w:rsidR="00F703F4" w:rsidRPr="00FD5770" w:rsidRDefault="00F703F4" w:rsidP="00233148">
      <w:pPr>
        <w:autoSpaceDE w:val="0"/>
        <w:autoSpaceDN w:val="0"/>
        <w:adjustRightInd w:val="0"/>
        <w:spacing w:after="200" w:line="360" w:lineRule="auto"/>
        <w:ind w:left="-57"/>
        <w:rPr>
          <w:rFonts w:ascii="Arial" w:hAnsi="Arial" w:cs="Arial"/>
          <w:color w:val="000000"/>
        </w:rPr>
      </w:pPr>
      <w:r w:rsidRPr="00FD5770">
        <w:rPr>
          <w:rFonts w:ascii="Arial" w:hAnsi="Arial" w:cs="Arial"/>
          <w:color w:val="000000"/>
        </w:rPr>
        <w:t xml:space="preserve">The designated ICB PSS will work collaboratively with provider services across the system as they develop and review their PSIR plans to: </w:t>
      </w:r>
    </w:p>
    <w:p w14:paraId="55B8BE32" w14:textId="77777777" w:rsidR="00233148" w:rsidRPr="00FD5770" w:rsidRDefault="00F703F4" w:rsidP="00EF5DF9">
      <w:pPr>
        <w:pStyle w:val="ListParagraph"/>
        <w:numPr>
          <w:ilvl w:val="0"/>
          <w:numId w:val="40"/>
        </w:numPr>
        <w:autoSpaceDE w:val="0"/>
        <w:autoSpaceDN w:val="0"/>
        <w:adjustRightInd w:val="0"/>
        <w:spacing w:after="200" w:line="360" w:lineRule="auto"/>
        <w:ind w:left="360"/>
        <w:rPr>
          <w:rFonts w:ascii="Arial" w:hAnsi="Arial" w:cs="Arial"/>
        </w:rPr>
      </w:pPr>
      <w:r w:rsidRPr="00FD5770">
        <w:rPr>
          <w:rFonts w:ascii="Arial" w:hAnsi="Arial" w:cs="Arial"/>
        </w:rPr>
        <w:t xml:space="preserve">understand the patient safety improvement profile of </w:t>
      </w:r>
      <w:r w:rsidR="002A0C4F" w:rsidRPr="00FD5770">
        <w:rPr>
          <w:rFonts w:ascii="Arial" w:hAnsi="Arial" w:cs="Arial"/>
        </w:rPr>
        <w:t>provider organisations.</w:t>
      </w:r>
      <w:r w:rsidRPr="00FD5770">
        <w:rPr>
          <w:rFonts w:ascii="Arial" w:hAnsi="Arial" w:cs="Arial"/>
        </w:rPr>
        <w:t xml:space="preserve"> </w:t>
      </w:r>
    </w:p>
    <w:p w14:paraId="50D3D269" w14:textId="68E80D06" w:rsidR="00233148" w:rsidRPr="00FD5770" w:rsidRDefault="00F703F4" w:rsidP="0064794A">
      <w:pPr>
        <w:pStyle w:val="ListParagraph"/>
        <w:numPr>
          <w:ilvl w:val="0"/>
          <w:numId w:val="40"/>
        </w:numPr>
        <w:autoSpaceDE w:val="0"/>
        <w:autoSpaceDN w:val="0"/>
        <w:adjustRightInd w:val="0"/>
        <w:spacing w:after="200" w:line="360" w:lineRule="auto"/>
        <w:ind w:left="360"/>
        <w:rPr>
          <w:rFonts w:ascii="Arial" w:hAnsi="Arial" w:cs="Arial"/>
        </w:rPr>
      </w:pPr>
      <w:r w:rsidRPr="00FD5770">
        <w:rPr>
          <w:rFonts w:ascii="Arial" w:hAnsi="Arial" w:cs="Arial"/>
        </w:rPr>
        <w:t xml:space="preserve">support the selection of appropriate response methods for </w:t>
      </w:r>
      <w:r w:rsidR="002A0C4F" w:rsidRPr="00FD5770">
        <w:rPr>
          <w:rFonts w:ascii="Arial" w:hAnsi="Arial" w:cs="Arial"/>
        </w:rPr>
        <w:t>anticipated</w:t>
      </w:r>
      <w:r w:rsidRPr="00FD5770">
        <w:rPr>
          <w:rFonts w:ascii="Arial" w:hAnsi="Arial" w:cs="Arial"/>
        </w:rPr>
        <w:t xml:space="preserve">           patient safety incidents based on an understanding of potential for </w:t>
      </w:r>
      <w:r w:rsidR="002A0C4F" w:rsidRPr="00FD5770">
        <w:rPr>
          <w:rFonts w:ascii="Arial" w:hAnsi="Arial" w:cs="Arial"/>
        </w:rPr>
        <w:t>new</w:t>
      </w:r>
      <w:r w:rsidRPr="00FD5770">
        <w:rPr>
          <w:rFonts w:ascii="Arial" w:hAnsi="Arial" w:cs="Arial"/>
        </w:rPr>
        <w:t xml:space="preserve">            learning and ongoing safety improvement work</w:t>
      </w:r>
      <w:r w:rsidR="00DB6D36" w:rsidRPr="00FD5770">
        <w:rPr>
          <w:rFonts w:ascii="Arial" w:hAnsi="Arial" w:cs="Arial"/>
        </w:rPr>
        <w:t>.</w:t>
      </w:r>
      <w:r w:rsidRPr="00FD5770">
        <w:rPr>
          <w:rFonts w:ascii="Arial" w:hAnsi="Arial" w:cs="Arial"/>
        </w:rPr>
        <w:t xml:space="preserve"> </w:t>
      </w:r>
    </w:p>
    <w:p w14:paraId="48018527" w14:textId="77777777" w:rsidR="00BD6113" w:rsidRPr="00FD5770" w:rsidRDefault="00F703F4" w:rsidP="00EF5DF9">
      <w:pPr>
        <w:pStyle w:val="ListParagraph"/>
        <w:numPr>
          <w:ilvl w:val="0"/>
          <w:numId w:val="41"/>
        </w:numPr>
        <w:autoSpaceDE w:val="0"/>
        <w:autoSpaceDN w:val="0"/>
        <w:adjustRightInd w:val="0"/>
        <w:spacing w:after="200" w:line="360" w:lineRule="auto"/>
        <w:ind w:left="360"/>
        <w:rPr>
          <w:rFonts w:ascii="Arial" w:hAnsi="Arial" w:cs="Arial"/>
        </w:rPr>
      </w:pPr>
      <w:r w:rsidRPr="00FD5770">
        <w:rPr>
          <w:rFonts w:ascii="Arial" w:hAnsi="Arial" w:cs="Arial"/>
        </w:rPr>
        <w:t xml:space="preserve">support provider organisations to work in </w:t>
      </w:r>
      <w:r w:rsidR="002A0C4F" w:rsidRPr="00FD5770">
        <w:rPr>
          <w:rFonts w:ascii="Arial" w:hAnsi="Arial" w:cs="Arial"/>
        </w:rPr>
        <w:t>collaboration.</w:t>
      </w:r>
    </w:p>
    <w:p w14:paraId="09E84AE3" w14:textId="77777777" w:rsidR="00BD6113" w:rsidRDefault="00BD6113" w:rsidP="00BD6113">
      <w:pPr>
        <w:pStyle w:val="ListParagraph"/>
        <w:autoSpaceDE w:val="0"/>
        <w:autoSpaceDN w:val="0"/>
        <w:adjustRightInd w:val="0"/>
        <w:spacing w:after="200" w:line="360" w:lineRule="auto"/>
        <w:ind w:left="360"/>
        <w:rPr>
          <w:rFonts w:ascii="Arial" w:hAnsi="Arial" w:cs="Arial"/>
          <w:sz w:val="23"/>
          <w:szCs w:val="23"/>
        </w:rPr>
      </w:pPr>
    </w:p>
    <w:p w14:paraId="3C9B7E21" w14:textId="5E82B275" w:rsidR="001C057E" w:rsidRPr="00E245B0" w:rsidRDefault="001C057E" w:rsidP="001C057E">
      <w:pPr>
        <w:spacing w:after="200" w:line="360" w:lineRule="auto"/>
        <w:ind w:left="-57"/>
        <w:jc w:val="both"/>
        <w:rPr>
          <w:rFonts w:ascii="Arial" w:hAnsi="Arial" w:cs="Arial"/>
          <w:sz w:val="24"/>
          <w:szCs w:val="24"/>
        </w:rPr>
      </w:pPr>
      <w:r>
        <w:rPr>
          <w:rFonts w:ascii="Arial" w:hAnsi="Arial" w:cs="Arial"/>
          <w:b/>
          <w:bCs/>
          <w:sz w:val="24"/>
          <w:szCs w:val="24"/>
        </w:rPr>
        <w:t>4.</w:t>
      </w:r>
      <w:r w:rsidR="00EF5DF9">
        <w:rPr>
          <w:rFonts w:ascii="Arial" w:hAnsi="Arial" w:cs="Arial"/>
          <w:b/>
          <w:bCs/>
          <w:sz w:val="24"/>
          <w:szCs w:val="24"/>
        </w:rPr>
        <w:t>5</w:t>
      </w:r>
      <w:r>
        <w:rPr>
          <w:rFonts w:ascii="Arial" w:hAnsi="Arial" w:cs="Arial"/>
          <w:b/>
          <w:bCs/>
          <w:sz w:val="24"/>
          <w:szCs w:val="24"/>
        </w:rPr>
        <w:t xml:space="preserve"> </w:t>
      </w:r>
      <w:r w:rsidR="00025230">
        <w:rPr>
          <w:rFonts w:ascii="Arial" w:hAnsi="Arial" w:cs="Arial"/>
          <w:b/>
          <w:bCs/>
          <w:sz w:val="24"/>
          <w:szCs w:val="24"/>
        </w:rPr>
        <w:t xml:space="preserve">ICB </w:t>
      </w:r>
      <w:r w:rsidRPr="00E245B0">
        <w:rPr>
          <w:rFonts w:ascii="Arial" w:hAnsi="Arial" w:cs="Arial"/>
          <w:b/>
          <w:bCs/>
          <w:sz w:val="24"/>
          <w:szCs w:val="24"/>
        </w:rPr>
        <w:t xml:space="preserve">Patient </w:t>
      </w:r>
      <w:r>
        <w:rPr>
          <w:rFonts w:ascii="Arial" w:hAnsi="Arial" w:cs="Arial"/>
          <w:b/>
          <w:bCs/>
          <w:sz w:val="24"/>
          <w:szCs w:val="24"/>
        </w:rPr>
        <w:t>S</w:t>
      </w:r>
      <w:r w:rsidRPr="00E245B0">
        <w:rPr>
          <w:rFonts w:ascii="Arial" w:hAnsi="Arial" w:cs="Arial"/>
          <w:b/>
          <w:bCs/>
          <w:sz w:val="24"/>
          <w:szCs w:val="24"/>
        </w:rPr>
        <w:t xml:space="preserve">afety </w:t>
      </w:r>
      <w:r>
        <w:rPr>
          <w:rFonts w:ascii="Arial" w:hAnsi="Arial" w:cs="Arial"/>
          <w:b/>
          <w:bCs/>
          <w:sz w:val="24"/>
          <w:szCs w:val="24"/>
        </w:rPr>
        <w:t>P</w:t>
      </w:r>
      <w:r w:rsidRPr="00E245B0">
        <w:rPr>
          <w:rFonts w:ascii="Arial" w:hAnsi="Arial" w:cs="Arial"/>
          <w:b/>
          <w:bCs/>
          <w:sz w:val="24"/>
          <w:szCs w:val="24"/>
        </w:rPr>
        <w:t>artners</w:t>
      </w:r>
    </w:p>
    <w:p w14:paraId="34428936" w14:textId="3AAAE08D" w:rsidR="001C057E" w:rsidRDefault="001C057E" w:rsidP="001C057E">
      <w:pPr>
        <w:spacing w:after="200" w:line="360" w:lineRule="auto"/>
        <w:ind w:left="-57"/>
        <w:rPr>
          <w:rFonts w:ascii="Arial" w:hAnsi="Arial" w:cs="Arial"/>
        </w:rPr>
      </w:pPr>
      <w:r>
        <w:rPr>
          <w:rFonts w:ascii="Arial" w:hAnsi="Arial" w:cs="Arial"/>
        </w:rPr>
        <w:t xml:space="preserve">Patient Safety Partners (PSP) are a key element of the National Patient Safety Strategy relating to the involvement of </w:t>
      </w:r>
      <w:r w:rsidRPr="007029DD">
        <w:rPr>
          <w:rFonts w:ascii="Arial" w:hAnsi="Arial" w:cs="Arial"/>
        </w:rPr>
        <w:t>patients, carers, families and lay people as partners in improving the quality</w:t>
      </w:r>
      <w:r>
        <w:rPr>
          <w:rFonts w:ascii="Arial" w:hAnsi="Arial" w:cs="Arial"/>
        </w:rPr>
        <w:t xml:space="preserve"> and safety</w:t>
      </w:r>
      <w:r w:rsidRPr="007029DD">
        <w:rPr>
          <w:rFonts w:ascii="Arial" w:hAnsi="Arial" w:cs="Arial"/>
        </w:rPr>
        <w:t xml:space="preserve"> of NHS care. </w:t>
      </w:r>
    </w:p>
    <w:p w14:paraId="48755FB5" w14:textId="4214D0CF" w:rsidR="001C057E" w:rsidRDefault="001C057E" w:rsidP="001C057E">
      <w:pPr>
        <w:spacing w:after="200" w:line="360" w:lineRule="auto"/>
        <w:ind w:left="-57"/>
        <w:rPr>
          <w:rFonts w:ascii="Arial" w:hAnsi="Arial" w:cs="Arial"/>
        </w:rPr>
      </w:pPr>
      <w:r>
        <w:rPr>
          <w:rFonts w:ascii="Arial" w:hAnsi="Arial" w:cs="Arial"/>
        </w:rPr>
        <w:t xml:space="preserve">PSPs have an important role with the PSIRF, bringing the patient perspective to patient safety investigation and learning alongside the role of those directly involved in incidents. </w:t>
      </w:r>
    </w:p>
    <w:p w14:paraId="537E30E3" w14:textId="7940A784" w:rsidR="001C057E" w:rsidRDefault="001C057E" w:rsidP="001C057E">
      <w:pPr>
        <w:spacing w:after="200" w:line="360" w:lineRule="auto"/>
        <w:ind w:left="-57"/>
        <w:rPr>
          <w:rFonts w:ascii="Arial" w:hAnsi="Arial" w:cs="Arial"/>
        </w:rPr>
      </w:pPr>
      <w:r>
        <w:rPr>
          <w:rFonts w:ascii="Arial" w:hAnsi="Arial" w:cs="Arial"/>
        </w:rPr>
        <w:lastRenderedPageBreak/>
        <w:t>The ICB PSPs will support the PSIRF process through active involvement in PSIRF system learning forums, and where appropriate working with provider PSPs to support learning and improvement. All ICB PSPs supporting PSIRF work will have undertaken the specific PSIRF training</w:t>
      </w:r>
      <w:r w:rsidR="007509F0">
        <w:rPr>
          <w:rFonts w:ascii="Arial" w:hAnsi="Arial" w:cs="Arial"/>
        </w:rPr>
        <w:t xml:space="preserve"> alongside relevant staff</w:t>
      </w:r>
      <w:r>
        <w:rPr>
          <w:rFonts w:ascii="Arial" w:hAnsi="Arial" w:cs="Arial"/>
        </w:rPr>
        <w:t>.</w:t>
      </w:r>
    </w:p>
    <w:p w14:paraId="77FDDF13" w14:textId="66520C36" w:rsidR="001C057E" w:rsidRPr="007029DD" w:rsidRDefault="001C057E" w:rsidP="001C057E">
      <w:pPr>
        <w:spacing w:after="200" w:line="360" w:lineRule="auto"/>
        <w:ind w:left="-57"/>
        <w:rPr>
          <w:rFonts w:ascii="Arial" w:hAnsi="Arial" w:cs="Arial"/>
        </w:rPr>
      </w:pPr>
      <w:r>
        <w:rPr>
          <w:rFonts w:ascii="Arial" w:hAnsi="Arial" w:cs="Arial"/>
        </w:rPr>
        <w:t>The ICB PSPs will also work with the ICB, in line with the national guidance, in wider areas linked to patient safety improvement. These include;</w:t>
      </w:r>
    </w:p>
    <w:p w14:paraId="6ACC4BAE" w14:textId="2FF8C340" w:rsidR="001C057E" w:rsidRDefault="001C057E" w:rsidP="001C057E">
      <w:pPr>
        <w:pStyle w:val="ListParagraph"/>
        <w:numPr>
          <w:ilvl w:val="0"/>
          <w:numId w:val="30"/>
        </w:numPr>
        <w:spacing w:after="200" w:line="360" w:lineRule="auto"/>
        <w:rPr>
          <w:rFonts w:ascii="Arial" w:hAnsi="Arial" w:cs="Arial"/>
        </w:rPr>
      </w:pPr>
      <w:r w:rsidRPr="00C90698">
        <w:rPr>
          <w:rFonts w:ascii="Arial" w:hAnsi="Arial" w:cs="Arial"/>
          <w:b/>
          <w:bCs/>
        </w:rPr>
        <w:t>Service and pathway design</w:t>
      </w:r>
      <w:r w:rsidRPr="00C90698">
        <w:rPr>
          <w:rFonts w:ascii="Arial" w:hAnsi="Arial" w:cs="Arial"/>
        </w:rPr>
        <w:t xml:space="preserve">. Patients should be involved in service and pathway </w:t>
      </w:r>
      <w:proofErr w:type="gramStart"/>
      <w:r w:rsidRPr="00C90698">
        <w:rPr>
          <w:rFonts w:ascii="Arial" w:hAnsi="Arial" w:cs="Arial"/>
        </w:rPr>
        <w:t>design,</w:t>
      </w:r>
      <w:proofErr w:type="gramEnd"/>
      <w:r w:rsidRPr="00C90698">
        <w:rPr>
          <w:rFonts w:ascii="Arial" w:hAnsi="Arial" w:cs="Arial"/>
        </w:rPr>
        <w:t xml:space="preserve"> </w:t>
      </w:r>
      <w:r w:rsidR="007509F0">
        <w:rPr>
          <w:rFonts w:ascii="Arial" w:hAnsi="Arial" w:cs="Arial"/>
        </w:rPr>
        <w:t xml:space="preserve">in some cases this may be a PSP or a wider patient representative. </w:t>
      </w:r>
    </w:p>
    <w:p w14:paraId="3A803E7C" w14:textId="2BC506D8" w:rsidR="001C057E" w:rsidRDefault="001C057E" w:rsidP="001C057E">
      <w:pPr>
        <w:pStyle w:val="ListParagraph"/>
        <w:numPr>
          <w:ilvl w:val="0"/>
          <w:numId w:val="30"/>
        </w:numPr>
        <w:spacing w:after="200" w:line="360" w:lineRule="auto"/>
        <w:rPr>
          <w:rFonts w:ascii="Arial" w:hAnsi="Arial" w:cs="Arial"/>
        </w:rPr>
      </w:pPr>
      <w:r w:rsidRPr="00C90698">
        <w:rPr>
          <w:rFonts w:ascii="Arial" w:hAnsi="Arial" w:cs="Arial"/>
          <w:b/>
          <w:bCs/>
        </w:rPr>
        <w:t>Safety governance</w:t>
      </w:r>
      <w:r w:rsidRPr="00C90698">
        <w:rPr>
          <w:rFonts w:ascii="Arial" w:hAnsi="Arial" w:cs="Arial"/>
        </w:rPr>
        <w:t xml:space="preserve">. PSPs can contribute and add value to safety governance by, for example, sitting on relevant committees to support compliance monitoring, responding to safety issues, reviewing data and reports, and providing appropriate challenge to ensure learning and change. </w:t>
      </w:r>
      <w:r w:rsidR="007509F0">
        <w:rPr>
          <w:rFonts w:ascii="Arial" w:hAnsi="Arial" w:cs="Arial"/>
        </w:rPr>
        <w:t>The ICB PSPs are members of both the ICB Quality Committee and the ICS System Quality Group.</w:t>
      </w:r>
    </w:p>
    <w:p w14:paraId="64E9E0A7" w14:textId="31369517" w:rsidR="001C057E" w:rsidRPr="002A0C4F" w:rsidRDefault="001C057E" w:rsidP="001C057E">
      <w:pPr>
        <w:pStyle w:val="ListParagraph"/>
        <w:numPr>
          <w:ilvl w:val="0"/>
          <w:numId w:val="30"/>
        </w:numPr>
        <w:spacing w:after="200" w:line="360" w:lineRule="auto"/>
        <w:rPr>
          <w:rFonts w:ascii="Arial" w:hAnsi="Arial" w:cs="Arial"/>
        </w:rPr>
      </w:pPr>
      <w:r w:rsidRPr="002A0C4F">
        <w:rPr>
          <w:rFonts w:ascii="Arial" w:hAnsi="Arial" w:cs="Arial"/>
          <w:b/>
          <w:bCs/>
        </w:rPr>
        <w:t>Strategy and policy</w:t>
      </w:r>
      <w:r w:rsidRPr="002A0C4F">
        <w:rPr>
          <w:rFonts w:ascii="Arial" w:hAnsi="Arial" w:cs="Arial"/>
        </w:rPr>
        <w:t>. PSPs c</w:t>
      </w:r>
      <w:r w:rsidR="007509F0">
        <w:rPr>
          <w:rFonts w:ascii="Arial" w:hAnsi="Arial" w:cs="Arial"/>
        </w:rPr>
        <w:t>an</w:t>
      </w:r>
      <w:r w:rsidRPr="002A0C4F">
        <w:rPr>
          <w:rFonts w:ascii="Arial" w:hAnsi="Arial" w:cs="Arial"/>
        </w:rPr>
        <w:t xml:space="preserve"> ensure patients’ perspectives are considered and provide valuable insights on the risks to patients; for example, where transitions in care and integration of care pathways are being considered.</w:t>
      </w:r>
    </w:p>
    <w:p w14:paraId="263855B2" w14:textId="1564919B" w:rsidR="001C057E" w:rsidRPr="008857BE" w:rsidRDefault="007509F0" w:rsidP="007509F0">
      <w:pPr>
        <w:spacing w:after="200" w:line="360" w:lineRule="auto"/>
        <w:rPr>
          <w:rFonts w:cstheme="minorHAnsi"/>
        </w:rPr>
      </w:pPr>
      <w:r>
        <w:rPr>
          <w:rFonts w:ascii="Arial" w:hAnsi="Arial" w:cs="Arial"/>
        </w:rPr>
        <w:t xml:space="preserve">The potential roles of PSPs within organisations, as outlined in the National Patient Safety Strategy, has been described below; </w:t>
      </w:r>
    </w:p>
    <w:p w14:paraId="5A3C63AE" w14:textId="77777777" w:rsidR="001C057E" w:rsidRPr="008857BE" w:rsidRDefault="001C057E" w:rsidP="001C057E">
      <w:pPr>
        <w:spacing w:after="200" w:line="276" w:lineRule="auto"/>
        <w:rPr>
          <w:rFonts w:eastAsiaTheme="minorHAnsi"/>
          <w:color w:val="0070C0"/>
          <w:sz w:val="36"/>
          <w:szCs w:val="36"/>
          <w:lang w:eastAsia="en-US"/>
        </w:rPr>
      </w:pPr>
      <w:r w:rsidRPr="008857BE">
        <w:rPr>
          <w:rFonts w:eastAsiaTheme="minorHAnsi"/>
          <w:noProof/>
          <w:lang w:eastAsia="en-US"/>
        </w:rPr>
        <w:drawing>
          <wp:inline distT="0" distB="0" distL="0" distR="0" wp14:anchorId="0FDECE33" wp14:editId="71992F33">
            <wp:extent cx="5848350"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48350" cy="3200400"/>
                    </a:xfrm>
                    <a:prstGeom prst="rect">
                      <a:avLst/>
                    </a:prstGeom>
                  </pic:spPr>
                </pic:pic>
              </a:graphicData>
            </a:graphic>
          </wp:inline>
        </w:drawing>
      </w:r>
    </w:p>
    <w:p w14:paraId="530CF316" w14:textId="77777777" w:rsidR="0036088A" w:rsidRDefault="0036088A" w:rsidP="00C90698">
      <w:pPr>
        <w:autoSpaceDE w:val="0"/>
        <w:autoSpaceDN w:val="0"/>
        <w:adjustRightInd w:val="0"/>
        <w:spacing w:after="200" w:line="360" w:lineRule="auto"/>
        <w:ind w:left="-57"/>
        <w:rPr>
          <w:rFonts w:ascii="Arial" w:eastAsiaTheme="minorHAnsi" w:hAnsi="Arial" w:cs="Arial"/>
          <w:b/>
          <w:bCs/>
          <w:sz w:val="24"/>
          <w:szCs w:val="24"/>
          <w:lang w:eastAsia="en-US"/>
        </w:rPr>
      </w:pPr>
    </w:p>
    <w:p w14:paraId="09F0564E" w14:textId="42DA7D7D" w:rsidR="00501FB6" w:rsidRPr="00E245B0" w:rsidRDefault="00501FB6" w:rsidP="00C90698">
      <w:pPr>
        <w:autoSpaceDE w:val="0"/>
        <w:autoSpaceDN w:val="0"/>
        <w:adjustRightInd w:val="0"/>
        <w:spacing w:after="200" w:line="360" w:lineRule="auto"/>
        <w:ind w:left="-57"/>
        <w:rPr>
          <w:rFonts w:ascii="Arial" w:eastAsiaTheme="minorHAnsi" w:hAnsi="Arial" w:cs="Arial"/>
          <w:sz w:val="24"/>
          <w:szCs w:val="24"/>
          <w:lang w:eastAsia="en-US"/>
        </w:rPr>
      </w:pPr>
      <w:r w:rsidRPr="00E245B0">
        <w:rPr>
          <w:rFonts w:ascii="Arial" w:eastAsiaTheme="minorHAnsi" w:hAnsi="Arial" w:cs="Arial"/>
          <w:b/>
          <w:bCs/>
          <w:sz w:val="24"/>
          <w:szCs w:val="24"/>
          <w:lang w:eastAsia="en-US"/>
        </w:rPr>
        <w:lastRenderedPageBreak/>
        <w:t>4.</w:t>
      </w:r>
      <w:r w:rsidR="00EF5DF9">
        <w:rPr>
          <w:rFonts w:ascii="Arial" w:eastAsiaTheme="minorHAnsi" w:hAnsi="Arial" w:cs="Arial"/>
          <w:b/>
          <w:bCs/>
          <w:sz w:val="24"/>
          <w:szCs w:val="24"/>
          <w:lang w:eastAsia="en-US"/>
        </w:rPr>
        <w:t>6</w:t>
      </w:r>
      <w:r w:rsidRPr="00E245B0">
        <w:rPr>
          <w:rFonts w:ascii="Arial" w:eastAsiaTheme="minorHAnsi" w:hAnsi="Arial" w:cs="Arial"/>
          <w:b/>
          <w:bCs/>
          <w:sz w:val="24"/>
          <w:szCs w:val="24"/>
          <w:lang w:eastAsia="en-US"/>
        </w:rPr>
        <w:t xml:space="preserve"> Providers of NHS funded </w:t>
      </w:r>
      <w:proofErr w:type="gramStart"/>
      <w:r w:rsidRPr="00E245B0">
        <w:rPr>
          <w:rFonts w:ascii="Arial" w:eastAsiaTheme="minorHAnsi" w:hAnsi="Arial" w:cs="Arial"/>
          <w:b/>
          <w:bCs/>
          <w:sz w:val="24"/>
          <w:szCs w:val="24"/>
          <w:lang w:eastAsia="en-US"/>
        </w:rPr>
        <w:t>care</w:t>
      </w:r>
      <w:proofErr w:type="gramEnd"/>
      <w:r w:rsidRPr="00E245B0">
        <w:rPr>
          <w:rFonts w:ascii="Arial" w:eastAsiaTheme="minorHAnsi" w:hAnsi="Arial" w:cs="Arial"/>
          <w:b/>
          <w:bCs/>
          <w:sz w:val="24"/>
          <w:szCs w:val="24"/>
          <w:lang w:eastAsia="en-US"/>
        </w:rPr>
        <w:t xml:space="preserve"> </w:t>
      </w:r>
    </w:p>
    <w:p w14:paraId="151C52DB" w14:textId="34E05872" w:rsidR="00EA6422" w:rsidRPr="00C90698" w:rsidRDefault="00501FB6" w:rsidP="00C90698">
      <w:pPr>
        <w:autoSpaceDE w:val="0"/>
        <w:autoSpaceDN w:val="0"/>
        <w:adjustRightInd w:val="0"/>
        <w:spacing w:after="200" w:line="360" w:lineRule="auto"/>
        <w:ind w:left="-57"/>
        <w:rPr>
          <w:rFonts w:ascii="Arial" w:eastAsiaTheme="minorHAnsi" w:hAnsi="Arial" w:cs="Arial"/>
          <w:color w:val="000000"/>
          <w:lang w:eastAsia="en-US"/>
        </w:rPr>
      </w:pPr>
      <w:r w:rsidRPr="007029DD">
        <w:rPr>
          <w:rFonts w:ascii="Arial" w:eastAsiaTheme="minorHAnsi" w:hAnsi="Arial" w:cs="Arial"/>
          <w:color w:val="000000"/>
          <w:lang w:eastAsia="en-US"/>
        </w:rPr>
        <w:t xml:space="preserve">Providers who have transitioned to PSIRF must ensure organisations meet national patient safety incident response standards with PSIRF central to governance arrangements, while receiving assurance of learning response outputs. Providers must ensure that standards for the legal duty of candour are adhered to for patient safety incident investigations and reviews. </w:t>
      </w:r>
    </w:p>
    <w:p w14:paraId="0457F08F" w14:textId="2E6DB474" w:rsidR="00501FB6" w:rsidRPr="00E245B0" w:rsidRDefault="00501FB6" w:rsidP="00C90698">
      <w:pPr>
        <w:autoSpaceDE w:val="0"/>
        <w:autoSpaceDN w:val="0"/>
        <w:adjustRightInd w:val="0"/>
        <w:spacing w:after="200" w:line="360" w:lineRule="auto"/>
        <w:ind w:left="-57"/>
        <w:rPr>
          <w:rFonts w:ascii="Arial" w:eastAsiaTheme="minorHAnsi" w:hAnsi="Arial" w:cs="Arial"/>
          <w:sz w:val="24"/>
          <w:szCs w:val="24"/>
          <w:lang w:eastAsia="en-US"/>
        </w:rPr>
      </w:pPr>
      <w:r w:rsidRPr="00E245B0">
        <w:rPr>
          <w:rFonts w:ascii="Arial" w:eastAsiaTheme="minorHAnsi" w:hAnsi="Arial" w:cs="Arial"/>
          <w:b/>
          <w:bCs/>
          <w:sz w:val="24"/>
          <w:szCs w:val="24"/>
          <w:lang w:eastAsia="en-US"/>
        </w:rPr>
        <w:t>4.</w:t>
      </w:r>
      <w:r w:rsidR="00EF5DF9">
        <w:rPr>
          <w:rFonts w:ascii="Arial" w:eastAsiaTheme="minorHAnsi" w:hAnsi="Arial" w:cs="Arial"/>
          <w:b/>
          <w:bCs/>
          <w:sz w:val="24"/>
          <w:szCs w:val="24"/>
          <w:lang w:eastAsia="en-US"/>
        </w:rPr>
        <w:t>7</w:t>
      </w:r>
      <w:r w:rsidRPr="00E245B0">
        <w:rPr>
          <w:rFonts w:ascii="Arial" w:eastAsiaTheme="minorHAnsi" w:hAnsi="Arial" w:cs="Arial"/>
          <w:b/>
          <w:bCs/>
          <w:sz w:val="24"/>
          <w:szCs w:val="24"/>
          <w:lang w:eastAsia="en-US"/>
        </w:rPr>
        <w:t xml:space="preserve"> Local </w:t>
      </w:r>
      <w:r w:rsidR="00EF5DF9">
        <w:rPr>
          <w:rFonts w:ascii="Arial" w:eastAsiaTheme="minorHAnsi" w:hAnsi="Arial" w:cs="Arial"/>
          <w:b/>
          <w:bCs/>
          <w:sz w:val="24"/>
          <w:szCs w:val="24"/>
          <w:lang w:eastAsia="en-US"/>
        </w:rPr>
        <w:t>M</w:t>
      </w:r>
      <w:r w:rsidRPr="00E245B0">
        <w:rPr>
          <w:rFonts w:ascii="Arial" w:eastAsiaTheme="minorHAnsi" w:hAnsi="Arial" w:cs="Arial"/>
          <w:b/>
          <w:bCs/>
          <w:sz w:val="24"/>
          <w:szCs w:val="24"/>
          <w:lang w:eastAsia="en-US"/>
        </w:rPr>
        <w:t xml:space="preserve">aternity and </w:t>
      </w:r>
      <w:r w:rsidR="00EF5DF9">
        <w:rPr>
          <w:rFonts w:ascii="Arial" w:eastAsiaTheme="minorHAnsi" w:hAnsi="Arial" w:cs="Arial"/>
          <w:b/>
          <w:bCs/>
          <w:sz w:val="24"/>
          <w:szCs w:val="24"/>
          <w:lang w:eastAsia="en-US"/>
        </w:rPr>
        <w:t>N</w:t>
      </w:r>
      <w:r w:rsidRPr="00E245B0">
        <w:rPr>
          <w:rFonts w:ascii="Arial" w:eastAsiaTheme="minorHAnsi" w:hAnsi="Arial" w:cs="Arial"/>
          <w:b/>
          <w:bCs/>
          <w:sz w:val="24"/>
          <w:szCs w:val="24"/>
          <w:lang w:eastAsia="en-US"/>
        </w:rPr>
        <w:t xml:space="preserve">eonatal </w:t>
      </w:r>
      <w:r w:rsidR="00EF5DF9">
        <w:rPr>
          <w:rFonts w:ascii="Arial" w:eastAsiaTheme="minorHAnsi" w:hAnsi="Arial" w:cs="Arial"/>
          <w:b/>
          <w:bCs/>
          <w:sz w:val="24"/>
          <w:szCs w:val="24"/>
          <w:lang w:eastAsia="en-US"/>
        </w:rPr>
        <w:t>S</w:t>
      </w:r>
      <w:r w:rsidRPr="00E245B0">
        <w:rPr>
          <w:rFonts w:ascii="Arial" w:eastAsiaTheme="minorHAnsi" w:hAnsi="Arial" w:cs="Arial"/>
          <w:b/>
          <w:bCs/>
          <w:sz w:val="24"/>
          <w:szCs w:val="24"/>
          <w:lang w:eastAsia="en-US"/>
        </w:rPr>
        <w:t xml:space="preserve">ystem (LMNS) </w:t>
      </w:r>
    </w:p>
    <w:p w14:paraId="6866438F" w14:textId="386EEF8A" w:rsidR="00EA6422" w:rsidRDefault="00501FB6" w:rsidP="00C90698">
      <w:pPr>
        <w:pStyle w:val="Default"/>
        <w:spacing w:after="200" w:line="360" w:lineRule="auto"/>
        <w:ind w:left="-57"/>
        <w:rPr>
          <w:rFonts w:eastAsiaTheme="minorHAnsi"/>
          <w:color w:val="auto"/>
          <w:sz w:val="22"/>
          <w:szCs w:val="22"/>
          <w:lang w:eastAsia="en-US"/>
        </w:rPr>
      </w:pPr>
      <w:r w:rsidRPr="007029DD">
        <w:rPr>
          <w:rFonts w:eastAsiaTheme="minorHAnsi"/>
          <w:color w:val="auto"/>
          <w:sz w:val="22"/>
          <w:szCs w:val="22"/>
          <w:lang w:eastAsia="en-US"/>
        </w:rPr>
        <w:t xml:space="preserve">The LMNSs and other local support networks play a crucial role in supporting improvement and facilitating review of patient safety incident responses. ICBs should ensure that provider organisations demonstrate their commitment to engaging with LMNSs and other local support networks as key stakeholders within their patient safety incident response plan. In addition, providers organisations should use their LMNS and support networks to facilitate review of incident responses between peers. This will support organisations to learn from each other’s incident response approaches and reduce the risk of organisations becoming isolated and help to bring a level of standardisation regarding how incidents are </w:t>
      </w:r>
      <w:r w:rsidR="006A6BB2" w:rsidRPr="007029DD">
        <w:rPr>
          <w:rFonts w:eastAsiaTheme="minorHAnsi"/>
          <w:color w:val="auto"/>
          <w:sz w:val="22"/>
          <w:szCs w:val="22"/>
          <w:lang w:eastAsia="en-US"/>
        </w:rPr>
        <w:t>reviewed.</w:t>
      </w:r>
    </w:p>
    <w:p w14:paraId="7E15A86B" w14:textId="6BE0BDD0" w:rsidR="00501FB6" w:rsidRPr="00E245B0" w:rsidRDefault="00501FB6" w:rsidP="00C90698">
      <w:pPr>
        <w:autoSpaceDE w:val="0"/>
        <w:autoSpaceDN w:val="0"/>
        <w:adjustRightInd w:val="0"/>
        <w:spacing w:after="200" w:line="360" w:lineRule="auto"/>
        <w:ind w:left="-57"/>
        <w:rPr>
          <w:rFonts w:ascii="Arial" w:eastAsiaTheme="minorHAnsi" w:hAnsi="Arial" w:cs="Arial"/>
          <w:sz w:val="24"/>
          <w:szCs w:val="24"/>
          <w:lang w:eastAsia="en-US"/>
        </w:rPr>
      </w:pPr>
      <w:r w:rsidRPr="00E245B0">
        <w:rPr>
          <w:rFonts w:ascii="Arial" w:eastAsiaTheme="minorHAnsi" w:hAnsi="Arial" w:cs="Arial"/>
          <w:b/>
          <w:bCs/>
          <w:sz w:val="24"/>
          <w:szCs w:val="24"/>
          <w:lang w:eastAsia="en-US"/>
        </w:rPr>
        <w:t>4.</w:t>
      </w:r>
      <w:r w:rsidR="00EF5DF9">
        <w:rPr>
          <w:rFonts w:ascii="Arial" w:eastAsiaTheme="minorHAnsi" w:hAnsi="Arial" w:cs="Arial"/>
          <w:b/>
          <w:bCs/>
          <w:sz w:val="24"/>
          <w:szCs w:val="24"/>
          <w:lang w:eastAsia="en-US"/>
        </w:rPr>
        <w:t>8</w:t>
      </w:r>
      <w:r w:rsidRPr="00E245B0">
        <w:rPr>
          <w:rFonts w:ascii="Arial" w:eastAsiaTheme="minorHAnsi" w:hAnsi="Arial" w:cs="Arial"/>
          <w:b/>
          <w:bCs/>
          <w:sz w:val="24"/>
          <w:szCs w:val="24"/>
          <w:lang w:eastAsia="en-US"/>
        </w:rPr>
        <w:t xml:space="preserve"> Care Quality Commission (CQC) </w:t>
      </w:r>
    </w:p>
    <w:p w14:paraId="12A57C8E" w14:textId="2F6E7ECF" w:rsidR="00F703F4" w:rsidRPr="00C90698" w:rsidRDefault="00501FB6" w:rsidP="00025230">
      <w:pPr>
        <w:autoSpaceDE w:val="0"/>
        <w:autoSpaceDN w:val="0"/>
        <w:adjustRightInd w:val="0"/>
        <w:spacing w:after="200" w:line="360" w:lineRule="auto"/>
        <w:ind w:left="-57"/>
        <w:rPr>
          <w:rFonts w:ascii="Arial" w:eastAsiaTheme="minorHAnsi" w:hAnsi="Arial" w:cs="Arial"/>
          <w:color w:val="000000"/>
          <w:lang w:eastAsia="en-US"/>
        </w:rPr>
      </w:pPr>
      <w:r w:rsidRPr="007029DD">
        <w:rPr>
          <w:rFonts w:ascii="Arial" w:eastAsiaTheme="minorHAnsi" w:hAnsi="Arial" w:cs="Arial"/>
          <w:color w:val="000000"/>
          <w:lang w:eastAsia="en-US"/>
        </w:rPr>
        <w:t xml:space="preserve">The CQC’s assessment of a provider’s leadership and safety considers an organisation’s ability to respond effectively to patient safety incidents, including consideration of whether change and improvement follow its response to patient safety incidents. CQC teams will apply the PSIRF and associated patient safety incident response standards as part of their assessment of the strength of an organisation’s systems and processes for preparing for and responding to patient safety incidents. </w:t>
      </w:r>
    </w:p>
    <w:p w14:paraId="5D3EF178" w14:textId="2AFC5BEF" w:rsidR="00501FB6" w:rsidRPr="00E245B0" w:rsidRDefault="00501FB6" w:rsidP="00C90698">
      <w:pPr>
        <w:autoSpaceDE w:val="0"/>
        <w:autoSpaceDN w:val="0"/>
        <w:adjustRightInd w:val="0"/>
        <w:spacing w:after="200" w:line="360" w:lineRule="auto"/>
        <w:ind w:left="-57"/>
        <w:rPr>
          <w:rFonts w:ascii="Arial" w:eastAsiaTheme="minorHAnsi" w:hAnsi="Arial" w:cs="Arial"/>
          <w:sz w:val="24"/>
          <w:szCs w:val="24"/>
          <w:lang w:eastAsia="en-US"/>
        </w:rPr>
      </w:pPr>
      <w:r w:rsidRPr="00E245B0">
        <w:rPr>
          <w:rFonts w:ascii="Arial" w:eastAsiaTheme="minorHAnsi" w:hAnsi="Arial" w:cs="Arial"/>
          <w:b/>
          <w:bCs/>
          <w:sz w:val="24"/>
          <w:szCs w:val="24"/>
          <w:lang w:eastAsia="en-US"/>
        </w:rPr>
        <w:t>4.</w:t>
      </w:r>
      <w:r w:rsidR="00EF5DF9">
        <w:rPr>
          <w:rFonts w:ascii="Arial" w:eastAsiaTheme="minorHAnsi" w:hAnsi="Arial" w:cs="Arial"/>
          <w:b/>
          <w:bCs/>
          <w:sz w:val="24"/>
          <w:szCs w:val="24"/>
          <w:lang w:eastAsia="en-US"/>
        </w:rPr>
        <w:t>9</w:t>
      </w:r>
      <w:r w:rsidRPr="00E245B0">
        <w:rPr>
          <w:rFonts w:ascii="Arial" w:eastAsiaTheme="minorHAnsi" w:hAnsi="Arial" w:cs="Arial"/>
          <w:b/>
          <w:bCs/>
          <w:sz w:val="24"/>
          <w:szCs w:val="24"/>
          <w:lang w:eastAsia="en-US"/>
        </w:rPr>
        <w:t xml:space="preserve"> </w:t>
      </w:r>
      <w:r w:rsidR="00696AED" w:rsidRPr="00696AED">
        <w:rPr>
          <w:rFonts w:ascii="Arial" w:eastAsiaTheme="minorHAnsi" w:hAnsi="Arial" w:cs="Arial"/>
          <w:b/>
          <w:bCs/>
          <w:sz w:val="24"/>
          <w:szCs w:val="24"/>
          <w:lang w:eastAsia="en-US"/>
        </w:rPr>
        <w:t xml:space="preserve">Health Services Safety Investigations Body </w:t>
      </w:r>
      <w:r w:rsidRPr="00E245B0">
        <w:rPr>
          <w:rFonts w:ascii="Arial" w:eastAsiaTheme="minorHAnsi" w:hAnsi="Arial" w:cs="Arial"/>
          <w:b/>
          <w:bCs/>
          <w:sz w:val="24"/>
          <w:szCs w:val="24"/>
          <w:lang w:eastAsia="en-US"/>
        </w:rPr>
        <w:t>(H</w:t>
      </w:r>
      <w:r w:rsidR="00696AED">
        <w:rPr>
          <w:rFonts w:ascii="Arial" w:eastAsiaTheme="minorHAnsi" w:hAnsi="Arial" w:cs="Arial"/>
          <w:b/>
          <w:bCs/>
          <w:sz w:val="24"/>
          <w:szCs w:val="24"/>
          <w:lang w:eastAsia="en-US"/>
        </w:rPr>
        <w:t>S</w:t>
      </w:r>
      <w:r w:rsidRPr="00E245B0">
        <w:rPr>
          <w:rFonts w:ascii="Arial" w:eastAsiaTheme="minorHAnsi" w:hAnsi="Arial" w:cs="Arial"/>
          <w:b/>
          <w:bCs/>
          <w:sz w:val="24"/>
          <w:szCs w:val="24"/>
          <w:lang w:eastAsia="en-US"/>
        </w:rPr>
        <w:t xml:space="preserve">SIB) </w:t>
      </w:r>
    </w:p>
    <w:p w14:paraId="4B0CA960" w14:textId="1C931E7E" w:rsidR="00EF5DF9" w:rsidRPr="00EF5DF9" w:rsidRDefault="00501FB6" w:rsidP="00EF5DF9">
      <w:pPr>
        <w:pStyle w:val="Default"/>
        <w:spacing w:after="200" w:line="360" w:lineRule="auto"/>
        <w:ind w:left="-57"/>
        <w:rPr>
          <w:rFonts w:eastAsiaTheme="minorHAnsi"/>
          <w:color w:val="auto"/>
          <w:sz w:val="22"/>
          <w:szCs w:val="22"/>
          <w:lang w:eastAsia="en-US"/>
        </w:rPr>
      </w:pPr>
      <w:r w:rsidRPr="007029DD">
        <w:rPr>
          <w:rFonts w:eastAsiaTheme="minorHAnsi"/>
          <w:color w:val="auto"/>
          <w:sz w:val="22"/>
          <w:szCs w:val="22"/>
          <w:lang w:eastAsia="en-US"/>
        </w:rPr>
        <w:t>H</w:t>
      </w:r>
      <w:r w:rsidR="00696AED">
        <w:rPr>
          <w:rFonts w:eastAsiaTheme="minorHAnsi"/>
          <w:color w:val="auto"/>
          <w:sz w:val="22"/>
          <w:szCs w:val="22"/>
          <w:lang w:eastAsia="en-US"/>
        </w:rPr>
        <w:t>S</w:t>
      </w:r>
      <w:r w:rsidRPr="007029DD">
        <w:rPr>
          <w:rFonts w:eastAsiaTheme="minorHAnsi"/>
          <w:color w:val="auto"/>
          <w:sz w:val="22"/>
          <w:szCs w:val="22"/>
          <w:lang w:eastAsia="en-US"/>
        </w:rPr>
        <w:t>SIB investigations identify the contributory factors that have led to harm or have the potential to cause harm to patients. H</w:t>
      </w:r>
      <w:r w:rsidR="00696AED">
        <w:rPr>
          <w:rFonts w:eastAsiaTheme="minorHAnsi"/>
          <w:color w:val="auto"/>
          <w:sz w:val="22"/>
          <w:szCs w:val="22"/>
          <w:lang w:eastAsia="en-US"/>
        </w:rPr>
        <w:t>S</w:t>
      </w:r>
      <w:r w:rsidRPr="007029DD">
        <w:rPr>
          <w:rFonts w:eastAsiaTheme="minorHAnsi"/>
          <w:color w:val="auto"/>
          <w:sz w:val="22"/>
          <w:szCs w:val="22"/>
          <w:lang w:eastAsia="en-US"/>
        </w:rPr>
        <w:t>SIB recommendations aim to improve healthcare systems and processes to reduce risk and improve safety.</w:t>
      </w:r>
      <w:bookmarkStart w:id="9" w:name="_Hlk126701381"/>
    </w:p>
    <w:p w14:paraId="6581CB6A" w14:textId="77777777" w:rsidR="0036088A" w:rsidRDefault="0036088A" w:rsidP="00C90698">
      <w:pPr>
        <w:keepNext/>
        <w:keepLines/>
        <w:spacing w:after="200" w:line="360" w:lineRule="auto"/>
        <w:ind w:left="-57"/>
        <w:rPr>
          <w:rFonts w:ascii="Arial" w:eastAsiaTheme="majorEastAsia" w:hAnsi="Arial" w:cs="Arial"/>
          <w:b/>
          <w:sz w:val="24"/>
          <w:szCs w:val="24"/>
          <w:lang w:eastAsia="en-US"/>
        </w:rPr>
      </w:pPr>
      <w:bookmarkStart w:id="10" w:name="_Toc125533535"/>
    </w:p>
    <w:p w14:paraId="1000EC81" w14:textId="32D66231" w:rsidR="008857BE" w:rsidRPr="00E245B0" w:rsidRDefault="00EF5DF9" w:rsidP="00C90698">
      <w:pPr>
        <w:keepNext/>
        <w:keepLines/>
        <w:spacing w:after="200" w:line="360" w:lineRule="auto"/>
        <w:ind w:left="-57"/>
        <w:rPr>
          <w:rFonts w:ascii="Arial" w:eastAsiaTheme="majorEastAsia" w:hAnsi="Arial" w:cs="Arial"/>
          <w:b/>
          <w:sz w:val="24"/>
          <w:szCs w:val="24"/>
          <w:lang w:eastAsia="en-US"/>
        </w:rPr>
      </w:pPr>
      <w:r>
        <w:rPr>
          <w:rFonts w:ascii="Arial" w:eastAsiaTheme="majorEastAsia" w:hAnsi="Arial" w:cs="Arial"/>
          <w:b/>
          <w:sz w:val="24"/>
          <w:szCs w:val="24"/>
          <w:lang w:eastAsia="en-US"/>
        </w:rPr>
        <w:t>5.0</w:t>
      </w:r>
      <w:r>
        <w:rPr>
          <w:rFonts w:ascii="Arial" w:eastAsiaTheme="majorEastAsia" w:hAnsi="Arial" w:cs="Arial"/>
          <w:b/>
          <w:sz w:val="24"/>
          <w:szCs w:val="24"/>
          <w:lang w:eastAsia="en-US"/>
        </w:rPr>
        <w:tab/>
      </w:r>
      <w:r w:rsidR="008857BE" w:rsidRPr="00E245B0">
        <w:rPr>
          <w:rFonts w:ascii="Arial" w:eastAsiaTheme="majorEastAsia" w:hAnsi="Arial" w:cs="Arial"/>
          <w:b/>
          <w:sz w:val="24"/>
          <w:szCs w:val="24"/>
          <w:lang w:eastAsia="en-US"/>
        </w:rPr>
        <w:t xml:space="preserve">Addressing health </w:t>
      </w:r>
      <w:proofErr w:type="gramStart"/>
      <w:r w:rsidR="008857BE" w:rsidRPr="00E245B0">
        <w:rPr>
          <w:rFonts w:ascii="Arial" w:eastAsiaTheme="majorEastAsia" w:hAnsi="Arial" w:cs="Arial"/>
          <w:b/>
          <w:sz w:val="24"/>
          <w:szCs w:val="24"/>
          <w:lang w:eastAsia="en-US"/>
        </w:rPr>
        <w:t>inequalities</w:t>
      </w:r>
      <w:bookmarkEnd w:id="10"/>
      <w:proofErr w:type="gramEnd"/>
    </w:p>
    <w:p w14:paraId="0D193AF1" w14:textId="7E4F636E" w:rsidR="008857BE" w:rsidRPr="0097014E" w:rsidRDefault="00025230" w:rsidP="00C90698">
      <w:pPr>
        <w:spacing w:after="200" w:line="360" w:lineRule="auto"/>
        <w:ind w:left="-57"/>
        <w:rPr>
          <w:rStyle w:val="Emphasis"/>
          <w:rFonts w:ascii="Arial" w:hAnsi="Arial" w:cs="Arial"/>
          <w:i w:val="0"/>
          <w:iCs w:val="0"/>
          <w:color w:val="202A30"/>
          <w:bdr w:val="none" w:sz="0" w:space="0" w:color="auto" w:frame="1"/>
          <w:shd w:val="clear" w:color="auto" w:fill="FFFFFF"/>
        </w:rPr>
      </w:pPr>
      <w:r>
        <w:rPr>
          <w:rStyle w:val="Emphasis"/>
          <w:rFonts w:ascii="Arial" w:hAnsi="Arial" w:cs="Arial"/>
          <w:i w:val="0"/>
          <w:iCs w:val="0"/>
          <w:color w:val="202A30"/>
          <w:bdr w:val="none" w:sz="0" w:space="0" w:color="auto" w:frame="1"/>
          <w:shd w:val="clear" w:color="auto" w:fill="FFFFFF"/>
        </w:rPr>
        <w:t>T</w:t>
      </w:r>
      <w:r w:rsidR="008857BE" w:rsidRPr="0097014E">
        <w:rPr>
          <w:rStyle w:val="Emphasis"/>
          <w:rFonts w:ascii="Arial" w:hAnsi="Arial" w:cs="Arial"/>
          <w:i w:val="0"/>
          <w:iCs w:val="0"/>
          <w:color w:val="202A30"/>
          <w:bdr w:val="none" w:sz="0" w:space="0" w:color="auto" w:frame="1"/>
          <w:shd w:val="clear" w:color="auto" w:fill="FFFFFF"/>
        </w:rPr>
        <w:t>he ICB recognise</w:t>
      </w:r>
      <w:r>
        <w:rPr>
          <w:rStyle w:val="Emphasis"/>
          <w:rFonts w:ascii="Arial" w:hAnsi="Arial" w:cs="Arial"/>
          <w:i w:val="0"/>
          <w:iCs w:val="0"/>
          <w:color w:val="202A30"/>
          <w:bdr w:val="none" w:sz="0" w:space="0" w:color="auto" w:frame="1"/>
          <w:shd w:val="clear" w:color="auto" w:fill="FFFFFF"/>
        </w:rPr>
        <w:t>s</w:t>
      </w:r>
      <w:r w:rsidR="008857BE" w:rsidRPr="0097014E">
        <w:rPr>
          <w:rStyle w:val="Emphasis"/>
          <w:rFonts w:ascii="Arial" w:hAnsi="Arial" w:cs="Arial"/>
          <w:i w:val="0"/>
          <w:iCs w:val="0"/>
          <w:color w:val="202A30"/>
          <w:bdr w:val="none" w:sz="0" w:space="0" w:color="auto" w:frame="1"/>
          <w:shd w:val="clear" w:color="auto" w:fill="FFFFFF"/>
        </w:rPr>
        <w:t xml:space="preserve"> that there is a no one-size-fits-all-approach to support </w:t>
      </w:r>
      <w:r w:rsidR="006A6BB2" w:rsidRPr="0097014E">
        <w:rPr>
          <w:rStyle w:val="Emphasis"/>
          <w:rFonts w:ascii="Arial" w:hAnsi="Arial" w:cs="Arial"/>
          <w:i w:val="0"/>
          <w:iCs w:val="0"/>
          <w:color w:val="202A30"/>
          <w:bdr w:val="none" w:sz="0" w:space="0" w:color="auto" w:frame="1"/>
          <w:shd w:val="clear" w:color="auto" w:fill="FFFFFF"/>
        </w:rPr>
        <w:t>patients,</w:t>
      </w:r>
      <w:r w:rsidR="008857BE" w:rsidRPr="0097014E">
        <w:rPr>
          <w:rStyle w:val="Emphasis"/>
          <w:rFonts w:ascii="Arial" w:hAnsi="Arial" w:cs="Arial"/>
          <w:i w:val="0"/>
          <w:iCs w:val="0"/>
          <w:color w:val="202A30"/>
          <w:bdr w:val="none" w:sz="0" w:space="0" w:color="auto" w:frame="1"/>
          <w:shd w:val="clear" w:color="auto" w:fill="FFFFFF"/>
        </w:rPr>
        <w:t xml:space="preserve"> families including unpaid carers and staff in response to a patient safety incident. </w:t>
      </w:r>
    </w:p>
    <w:p w14:paraId="53F38F8D" w14:textId="181125D7" w:rsidR="00775F63" w:rsidRDefault="00025230" w:rsidP="00C90698">
      <w:pPr>
        <w:spacing w:after="200" w:line="360" w:lineRule="auto"/>
        <w:ind w:left="-57"/>
        <w:rPr>
          <w:rFonts w:ascii="Arial" w:hAnsi="Arial" w:cs="Arial"/>
          <w:color w:val="242424"/>
          <w:shd w:val="clear" w:color="auto" w:fill="FFFFFF"/>
        </w:rPr>
      </w:pPr>
      <w:r>
        <w:rPr>
          <w:rFonts w:ascii="Arial" w:hAnsi="Arial" w:cs="Arial"/>
          <w:color w:val="242424"/>
          <w:shd w:val="clear" w:color="auto" w:fill="FFFFFF"/>
        </w:rPr>
        <w:t>The ICB is</w:t>
      </w:r>
      <w:r w:rsidR="008857BE" w:rsidRPr="0097014E">
        <w:rPr>
          <w:rFonts w:ascii="Arial" w:hAnsi="Arial" w:cs="Arial"/>
          <w:color w:val="242424"/>
          <w:shd w:val="clear" w:color="auto" w:fill="FFFFFF"/>
        </w:rPr>
        <w:t xml:space="preserve"> committed to providing equality of opportunity for all individuals involved in an incident and recognise effective engagement and involvement</w:t>
      </w:r>
      <w:r w:rsidR="00775F63">
        <w:rPr>
          <w:rFonts w:ascii="Arial" w:hAnsi="Arial" w:cs="Arial"/>
          <w:color w:val="242424"/>
          <w:shd w:val="clear" w:color="auto" w:fill="FFFFFF"/>
        </w:rPr>
        <w:t xml:space="preserve">, </w:t>
      </w:r>
      <w:proofErr w:type="gramStart"/>
      <w:r w:rsidR="00775F63">
        <w:rPr>
          <w:rFonts w:ascii="Arial" w:hAnsi="Arial" w:cs="Arial"/>
          <w:color w:val="242424"/>
          <w:shd w:val="clear" w:color="auto" w:fill="FFFFFF"/>
        </w:rPr>
        <w:t>taking into account</w:t>
      </w:r>
      <w:proofErr w:type="gramEnd"/>
      <w:r w:rsidR="00775F63">
        <w:rPr>
          <w:rFonts w:ascii="Arial" w:hAnsi="Arial" w:cs="Arial"/>
          <w:color w:val="242424"/>
          <w:shd w:val="clear" w:color="auto" w:fill="FFFFFF"/>
        </w:rPr>
        <w:t xml:space="preserve"> different needs of </w:t>
      </w:r>
      <w:r w:rsidR="00696AED">
        <w:rPr>
          <w:rFonts w:ascii="Arial" w:hAnsi="Arial" w:cs="Arial"/>
          <w:color w:val="242424"/>
          <w:shd w:val="clear" w:color="auto" w:fill="FFFFFF"/>
        </w:rPr>
        <w:t>individuals</w:t>
      </w:r>
      <w:r w:rsidR="00775F63">
        <w:rPr>
          <w:rFonts w:ascii="Arial" w:hAnsi="Arial" w:cs="Arial"/>
          <w:color w:val="242424"/>
          <w:shd w:val="clear" w:color="auto" w:fill="FFFFFF"/>
        </w:rPr>
        <w:t>,</w:t>
      </w:r>
      <w:r w:rsidR="008857BE" w:rsidRPr="0097014E">
        <w:rPr>
          <w:rFonts w:ascii="Arial" w:hAnsi="Arial" w:cs="Arial"/>
          <w:color w:val="242424"/>
          <w:shd w:val="clear" w:color="auto" w:fill="FFFFFF"/>
        </w:rPr>
        <w:t xml:space="preserve"> will enable opportunities for learning as well as embedding needed quality improvements at both a local and system levels</w:t>
      </w:r>
      <w:r w:rsidR="00775F63">
        <w:rPr>
          <w:rFonts w:ascii="Arial" w:hAnsi="Arial" w:cs="Arial"/>
          <w:color w:val="242424"/>
          <w:shd w:val="clear" w:color="auto" w:fill="FFFFFF"/>
        </w:rPr>
        <w:t>.</w:t>
      </w:r>
      <w:r w:rsidR="008857BE" w:rsidRPr="0097014E">
        <w:rPr>
          <w:rFonts w:ascii="Arial" w:hAnsi="Arial" w:cs="Arial"/>
          <w:color w:val="242424"/>
          <w:shd w:val="clear" w:color="auto" w:fill="FFFFFF"/>
        </w:rPr>
        <w:t xml:space="preserve"> </w:t>
      </w:r>
    </w:p>
    <w:p w14:paraId="1BF6DF22" w14:textId="5D2D69EA" w:rsidR="008857BE" w:rsidRPr="0097014E" w:rsidRDefault="008857BE" w:rsidP="00C90698">
      <w:pPr>
        <w:spacing w:after="200" w:line="360" w:lineRule="auto"/>
        <w:ind w:left="-57"/>
        <w:rPr>
          <w:rFonts w:ascii="Arial" w:hAnsi="Arial" w:cs="Arial"/>
        </w:rPr>
      </w:pPr>
      <w:r w:rsidRPr="0097014E">
        <w:rPr>
          <w:rFonts w:ascii="Arial" w:hAnsi="Arial" w:cs="Arial"/>
          <w:color w:val="242424"/>
          <w:shd w:val="clear" w:color="auto" w:fill="FFFFFF"/>
        </w:rPr>
        <w:t xml:space="preserve">Further benefits </w:t>
      </w:r>
      <w:r w:rsidR="00775F63">
        <w:rPr>
          <w:rFonts w:ascii="Arial" w:hAnsi="Arial" w:cs="Arial"/>
          <w:color w:val="242424"/>
          <w:shd w:val="clear" w:color="auto" w:fill="FFFFFF"/>
        </w:rPr>
        <w:t xml:space="preserve">of the PSIRF </w:t>
      </w:r>
      <w:r w:rsidRPr="0097014E">
        <w:rPr>
          <w:rFonts w:ascii="Arial" w:hAnsi="Arial" w:cs="Arial"/>
          <w:color w:val="242424"/>
          <w:shd w:val="clear" w:color="auto" w:fill="FFFFFF"/>
        </w:rPr>
        <w:t xml:space="preserve">include </w:t>
      </w:r>
      <w:r w:rsidRPr="0097014E">
        <w:rPr>
          <w:rFonts w:ascii="Arial" w:hAnsi="Arial" w:cs="Arial"/>
        </w:rPr>
        <w:t>supporting the development of a just culture</w:t>
      </w:r>
      <w:r w:rsidR="00775F63">
        <w:rPr>
          <w:rFonts w:ascii="Arial" w:hAnsi="Arial" w:cs="Arial"/>
        </w:rPr>
        <w:t>. This will help to</w:t>
      </w:r>
      <w:r w:rsidRPr="0097014E">
        <w:rPr>
          <w:rFonts w:ascii="Arial" w:hAnsi="Arial" w:cs="Arial"/>
        </w:rPr>
        <w:t xml:space="preserve"> reduc</w:t>
      </w:r>
      <w:r w:rsidR="00775F63">
        <w:rPr>
          <w:rFonts w:ascii="Arial" w:hAnsi="Arial" w:cs="Arial"/>
        </w:rPr>
        <w:t>e</w:t>
      </w:r>
      <w:r w:rsidRPr="0097014E">
        <w:rPr>
          <w:rFonts w:ascii="Arial" w:hAnsi="Arial" w:cs="Arial"/>
        </w:rPr>
        <w:t xml:space="preserve"> the ethnicity gap in rates of disciplinary action across the NHS workforce</w:t>
      </w:r>
      <w:r w:rsidR="00775F63">
        <w:rPr>
          <w:rFonts w:ascii="Arial" w:hAnsi="Arial" w:cs="Arial"/>
        </w:rPr>
        <w:t xml:space="preserve"> in relation to patient safety incidents</w:t>
      </w:r>
      <w:r w:rsidRPr="0097014E">
        <w:rPr>
          <w:rFonts w:ascii="Arial" w:hAnsi="Arial" w:cs="Arial"/>
        </w:rPr>
        <w:t>.</w:t>
      </w:r>
    </w:p>
    <w:p w14:paraId="7EC71924" w14:textId="64E56C04" w:rsidR="00C86EAF" w:rsidRDefault="008857BE" w:rsidP="00DB6D36">
      <w:pPr>
        <w:spacing w:after="200" w:line="360" w:lineRule="auto"/>
        <w:rPr>
          <w:rFonts w:ascii="Arial" w:hAnsi="Arial" w:cs="Arial"/>
        </w:rPr>
      </w:pPr>
      <w:r w:rsidRPr="0097014E">
        <w:rPr>
          <w:rFonts w:ascii="Arial" w:hAnsi="Arial" w:cs="Arial"/>
        </w:rPr>
        <w:t xml:space="preserve">The flexible approach for PSIRF also supports addressing concerns specific to health inequalities. It provides an opportunity to learn from patient safety incidents that do not meet the </w:t>
      </w:r>
      <w:r w:rsidR="00775F63">
        <w:rPr>
          <w:rFonts w:ascii="Arial" w:hAnsi="Arial" w:cs="Arial"/>
        </w:rPr>
        <w:t xml:space="preserve">previous </w:t>
      </w:r>
      <w:r w:rsidRPr="0097014E">
        <w:rPr>
          <w:rFonts w:ascii="Arial" w:hAnsi="Arial" w:cs="Arial"/>
        </w:rPr>
        <w:t>definition of a ‘Serious Incident’</w:t>
      </w:r>
      <w:r w:rsidR="006A6BB2" w:rsidRPr="0097014E">
        <w:rPr>
          <w:rFonts w:ascii="Arial" w:hAnsi="Arial" w:cs="Arial"/>
        </w:rPr>
        <w:t xml:space="preserve">, </w:t>
      </w:r>
      <w:r w:rsidRPr="0097014E">
        <w:rPr>
          <w:rFonts w:ascii="Arial" w:hAnsi="Arial" w:cs="Arial"/>
        </w:rPr>
        <w:t xml:space="preserve">whilst tools made available in the patient safety incident response toolkit also prompt consideration of inequalities in the development and maintenance of patient safety incident response </w:t>
      </w:r>
      <w:r w:rsidR="0097014E" w:rsidRPr="0097014E">
        <w:rPr>
          <w:rFonts w:ascii="Arial" w:hAnsi="Arial" w:cs="Arial"/>
        </w:rPr>
        <w:t>plans.</w:t>
      </w:r>
    </w:p>
    <w:p w14:paraId="32D4714A" w14:textId="77777777" w:rsidR="00DB6D36" w:rsidRPr="00DB6D36" w:rsidRDefault="00DB6D36" w:rsidP="00775F63">
      <w:pPr>
        <w:spacing w:after="200" w:line="360" w:lineRule="auto"/>
        <w:ind w:left="-57"/>
        <w:rPr>
          <w:rFonts w:ascii="Arial" w:hAnsi="Arial" w:cs="Arial"/>
          <w:sz w:val="6"/>
          <w:szCs w:val="6"/>
        </w:rPr>
      </w:pPr>
    </w:p>
    <w:p w14:paraId="4136FC9F" w14:textId="400D5261" w:rsidR="001C2FC6" w:rsidRPr="00E245B0" w:rsidRDefault="003F3E3F" w:rsidP="00E245B0">
      <w:pPr>
        <w:pStyle w:val="Default"/>
        <w:spacing w:after="200" w:line="360" w:lineRule="auto"/>
        <w:ind w:left="-57"/>
        <w:rPr>
          <w:color w:val="auto"/>
        </w:rPr>
      </w:pPr>
      <w:r>
        <w:rPr>
          <w:b/>
          <w:bCs/>
          <w:color w:val="auto"/>
        </w:rPr>
        <w:t>6</w:t>
      </w:r>
      <w:r w:rsidR="00DB6D36">
        <w:rPr>
          <w:b/>
          <w:bCs/>
          <w:color w:val="auto"/>
        </w:rPr>
        <w:t>.0</w:t>
      </w:r>
      <w:r w:rsidR="00DB6D36">
        <w:rPr>
          <w:b/>
          <w:bCs/>
          <w:color w:val="auto"/>
        </w:rPr>
        <w:tab/>
        <w:t>Engaging and Involving Patients, Families and Staff following a</w:t>
      </w:r>
      <w:r w:rsidR="00595D7C">
        <w:rPr>
          <w:b/>
          <w:bCs/>
          <w:color w:val="auto"/>
        </w:rPr>
        <w:t xml:space="preserve"> </w:t>
      </w:r>
      <w:r w:rsidR="00DB6D36">
        <w:rPr>
          <w:b/>
          <w:bCs/>
          <w:color w:val="auto"/>
        </w:rPr>
        <w:t>Patient Safety Incident</w:t>
      </w:r>
    </w:p>
    <w:p w14:paraId="758646A3" w14:textId="2833F709" w:rsidR="001C2FC6" w:rsidRDefault="001C2FC6" w:rsidP="00E245B0">
      <w:pPr>
        <w:pStyle w:val="Default"/>
        <w:spacing w:after="200" w:line="360" w:lineRule="auto"/>
        <w:ind w:left="-57"/>
        <w:rPr>
          <w:sz w:val="22"/>
          <w:szCs w:val="22"/>
        </w:rPr>
      </w:pPr>
      <w:r w:rsidRPr="007029DD">
        <w:rPr>
          <w:sz w:val="22"/>
          <w:szCs w:val="22"/>
        </w:rPr>
        <w:t>The ICB will ensure that those affected by patient safety incidents have the opportunity to participate in patient safety investigations to understand what has happened and answer any questions they have in relation to the incident and to be signposted to support as required. The ICB will ensure that PSIR</w:t>
      </w:r>
      <w:r w:rsidR="00547B57">
        <w:rPr>
          <w:sz w:val="22"/>
          <w:szCs w:val="22"/>
        </w:rPr>
        <w:t>F</w:t>
      </w:r>
      <w:r w:rsidRPr="007029DD">
        <w:rPr>
          <w:sz w:val="22"/>
          <w:szCs w:val="22"/>
        </w:rPr>
        <w:t xml:space="preserve"> plans and policies for provider organisations seek to work with those affected by patient safety incidents and to involve them meaningfully in the investigation process. </w:t>
      </w:r>
    </w:p>
    <w:p w14:paraId="6C98EA0F" w14:textId="0C98E61F" w:rsidR="00CC053C" w:rsidRPr="007029DD" w:rsidRDefault="00CC053C" w:rsidP="00E245B0">
      <w:pPr>
        <w:pStyle w:val="Default"/>
        <w:spacing w:after="200" w:line="360" w:lineRule="auto"/>
        <w:ind w:left="-57"/>
        <w:rPr>
          <w:sz w:val="22"/>
          <w:szCs w:val="22"/>
        </w:rPr>
      </w:pPr>
      <w:r w:rsidRPr="00CC053C">
        <w:rPr>
          <w:sz w:val="22"/>
          <w:szCs w:val="22"/>
        </w:rPr>
        <w:t>In addition to involvement and engagement with</w:t>
      </w:r>
      <w:r>
        <w:rPr>
          <w:sz w:val="22"/>
          <w:szCs w:val="22"/>
        </w:rPr>
        <w:t xml:space="preserve"> patients and families, the ICB will look to ensure that providers are fulfilling their </w:t>
      </w:r>
      <w:r w:rsidRPr="00CC053C">
        <w:rPr>
          <w:sz w:val="22"/>
          <w:szCs w:val="22"/>
        </w:rPr>
        <w:t>regulatory and professional requirements for Duty of Candour</w:t>
      </w:r>
      <w:r>
        <w:rPr>
          <w:sz w:val="22"/>
          <w:szCs w:val="22"/>
        </w:rPr>
        <w:t>.</w:t>
      </w:r>
    </w:p>
    <w:p w14:paraId="3B50C41D" w14:textId="77777777" w:rsidR="001C2FC6" w:rsidRPr="007029DD" w:rsidRDefault="001C2FC6" w:rsidP="00E245B0">
      <w:pPr>
        <w:pStyle w:val="Default"/>
        <w:spacing w:after="200" w:line="360" w:lineRule="auto"/>
        <w:ind w:left="-57"/>
        <w:rPr>
          <w:sz w:val="22"/>
          <w:szCs w:val="22"/>
        </w:rPr>
      </w:pPr>
      <w:r w:rsidRPr="007029DD">
        <w:rPr>
          <w:sz w:val="22"/>
          <w:szCs w:val="22"/>
        </w:rPr>
        <w:t xml:space="preserve">The ICB promotes and embraces a just culture to ensure that staff are treated fairly and appropriately following patient safety incidents. When providing system oversight </w:t>
      </w:r>
      <w:r w:rsidRPr="007029DD">
        <w:rPr>
          <w:sz w:val="22"/>
          <w:szCs w:val="22"/>
        </w:rPr>
        <w:lastRenderedPageBreak/>
        <w:t xml:space="preserve">for patient safety reviews and investigations the ICB will ensure that engagement from staff has been sought and used to inform each investigation. </w:t>
      </w:r>
    </w:p>
    <w:p w14:paraId="248071C4" w14:textId="57C3E536" w:rsidR="001C2FC6" w:rsidRPr="007029DD" w:rsidRDefault="001C2FC6" w:rsidP="00E245B0">
      <w:pPr>
        <w:pStyle w:val="Default"/>
        <w:spacing w:after="200" w:line="360" w:lineRule="auto"/>
        <w:ind w:left="-57"/>
        <w:rPr>
          <w:sz w:val="22"/>
          <w:szCs w:val="22"/>
        </w:rPr>
      </w:pPr>
      <w:r w:rsidRPr="007029DD">
        <w:rPr>
          <w:sz w:val="22"/>
          <w:szCs w:val="22"/>
        </w:rPr>
        <w:t>When considering organisation</w:t>
      </w:r>
      <w:r w:rsidR="00CC053C">
        <w:rPr>
          <w:sz w:val="22"/>
          <w:szCs w:val="22"/>
        </w:rPr>
        <w:t>’</w:t>
      </w:r>
      <w:r w:rsidRPr="007029DD">
        <w:rPr>
          <w:sz w:val="22"/>
          <w:szCs w:val="22"/>
        </w:rPr>
        <w:t>s PSIR</w:t>
      </w:r>
      <w:r w:rsidR="00547B57">
        <w:rPr>
          <w:sz w:val="22"/>
          <w:szCs w:val="22"/>
        </w:rPr>
        <w:t>F</w:t>
      </w:r>
      <w:r w:rsidRPr="007029DD">
        <w:rPr>
          <w:sz w:val="22"/>
          <w:szCs w:val="22"/>
        </w:rPr>
        <w:t xml:space="preserve"> plans the ICB will ensure that organisations have systems and structures in place to enable managers and wider staff to: </w:t>
      </w:r>
    </w:p>
    <w:p w14:paraId="30FD05E0" w14:textId="2D2EA9F3" w:rsidR="00E245B0" w:rsidRDefault="001C2FC6" w:rsidP="00E245B0">
      <w:pPr>
        <w:pStyle w:val="Default"/>
        <w:numPr>
          <w:ilvl w:val="0"/>
          <w:numId w:val="32"/>
        </w:numPr>
        <w:spacing w:after="200" w:line="360" w:lineRule="auto"/>
        <w:rPr>
          <w:sz w:val="22"/>
          <w:szCs w:val="22"/>
        </w:rPr>
      </w:pPr>
      <w:r w:rsidRPr="007029DD">
        <w:rPr>
          <w:sz w:val="22"/>
          <w:szCs w:val="22"/>
        </w:rPr>
        <w:t xml:space="preserve">be confident about which incidents are being investigated and </w:t>
      </w:r>
      <w:r w:rsidR="0097014E" w:rsidRPr="007029DD">
        <w:rPr>
          <w:sz w:val="22"/>
          <w:szCs w:val="22"/>
        </w:rPr>
        <w:t>why.</w:t>
      </w:r>
      <w:r w:rsidRPr="007029DD">
        <w:rPr>
          <w:sz w:val="22"/>
          <w:szCs w:val="22"/>
        </w:rPr>
        <w:t xml:space="preserve"> </w:t>
      </w:r>
    </w:p>
    <w:p w14:paraId="25DD49F3" w14:textId="43ABAC55" w:rsidR="00E245B0" w:rsidRDefault="001C2FC6" w:rsidP="00E245B0">
      <w:pPr>
        <w:pStyle w:val="Default"/>
        <w:numPr>
          <w:ilvl w:val="0"/>
          <w:numId w:val="32"/>
        </w:numPr>
        <w:spacing w:after="200" w:line="360" w:lineRule="auto"/>
        <w:rPr>
          <w:sz w:val="22"/>
          <w:szCs w:val="22"/>
        </w:rPr>
      </w:pPr>
      <w:r w:rsidRPr="00E245B0">
        <w:rPr>
          <w:sz w:val="22"/>
          <w:szCs w:val="22"/>
        </w:rPr>
        <w:t xml:space="preserve">understand the potential impact of patient safety incidents on </w:t>
      </w:r>
      <w:r w:rsidR="0097014E" w:rsidRPr="00E245B0">
        <w:rPr>
          <w:sz w:val="22"/>
          <w:szCs w:val="22"/>
        </w:rPr>
        <w:t>staff.</w:t>
      </w:r>
      <w:r w:rsidRPr="00E245B0">
        <w:rPr>
          <w:sz w:val="22"/>
          <w:szCs w:val="22"/>
        </w:rPr>
        <w:t xml:space="preserve"> </w:t>
      </w:r>
    </w:p>
    <w:p w14:paraId="07E7C23B" w14:textId="631DB6D1" w:rsidR="00E245B0" w:rsidRDefault="001C2FC6" w:rsidP="00E245B0">
      <w:pPr>
        <w:pStyle w:val="Default"/>
        <w:numPr>
          <w:ilvl w:val="0"/>
          <w:numId w:val="32"/>
        </w:numPr>
        <w:spacing w:after="200" w:line="360" w:lineRule="auto"/>
        <w:rPr>
          <w:sz w:val="22"/>
          <w:szCs w:val="22"/>
        </w:rPr>
      </w:pPr>
      <w:r w:rsidRPr="00E245B0">
        <w:rPr>
          <w:sz w:val="22"/>
          <w:szCs w:val="22"/>
        </w:rPr>
        <w:t xml:space="preserve">recognise and help to manage the signs and symptoms of stress (including those associated with post-traumatic stress disorder) in themselves and </w:t>
      </w:r>
      <w:r w:rsidR="0097014E" w:rsidRPr="00E245B0">
        <w:rPr>
          <w:sz w:val="22"/>
          <w:szCs w:val="22"/>
        </w:rPr>
        <w:t>colleagues.</w:t>
      </w:r>
      <w:r w:rsidRPr="00E245B0">
        <w:rPr>
          <w:sz w:val="22"/>
          <w:szCs w:val="22"/>
        </w:rPr>
        <w:t xml:space="preserve"> </w:t>
      </w:r>
    </w:p>
    <w:p w14:paraId="01DB4309" w14:textId="648A0604" w:rsidR="001C2FC6" w:rsidRDefault="001C2FC6" w:rsidP="00E245B0">
      <w:pPr>
        <w:pStyle w:val="Default"/>
        <w:numPr>
          <w:ilvl w:val="0"/>
          <w:numId w:val="32"/>
        </w:numPr>
        <w:spacing w:after="200" w:line="360" w:lineRule="auto"/>
        <w:rPr>
          <w:sz w:val="22"/>
          <w:szCs w:val="22"/>
        </w:rPr>
      </w:pPr>
      <w:r w:rsidRPr="00E245B0">
        <w:rPr>
          <w:sz w:val="22"/>
          <w:szCs w:val="22"/>
        </w:rPr>
        <w:t xml:space="preserve">have access to support following patient safety </w:t>
      </w:r>
      <w:r w:rsidR="0097014E" w:rsidRPr="00E245B0">
        <w:rPr>
          <w:sz w:val="22"/>
          <w:szCs w:val="22"/>
        </w:rPr>
        <w:t>incidents.</w:t>
      </w:r>
      <w:r w:rsidRPr="00E245B0">
        <w:rPr>
          <w:sz w:val="22"/>
          <w:szCs w:val="22"/>
        </w:rPr>
        <w:t xml:space="preserve"> </w:t>
      </w:r>
    </w:p>
    <w:p w14:paraId="1E15B7A0" w14:textId="77777777" w:rsidR="00DB6D36" w:rsidRPr="00DB6D36" w:rsidRDefault="00DB6D36" w:rsidP="00DB6D36">
      <w:pPr>
        <w:pStyle w:val="Default"/>
        <w:spacing w:after="200" w:line="360" w:lineRule="auto"/>
        <w:ind w:left="663"/>
        <w:rPr>
          <w:sz w:val="2"/>
          <w:szCs w:val="2"/>
        </w:rPr>
      </w:pPr>
    </w:p>
    <w:p w14:paraId="6F2AF102" w14:textId="7B82C1E3" w:rsidR="001C2FC6" w:rsidRPr="00E245B0" w:rsidRDefault="003F3E3F" w:rsidP="00E245B0">
      <w:pPr>
        <w:pStyle w:val="Default"/>
        <w:spacing w:after="200" w:line="360" w:lineRule="auto"/>
        <w:ind w:left="-57"/>
        <w:rPr>
          <w:color w:val="auto"/>
        </w:rPr>
      </w:pPr>
      <w:r>
        <w:rPr>
          <w:b/>
          <w:bCs/>
          <w:color w:val="auto"/>
        </w:rPr>
        <w:t>7</w:t>
      </w:r>
      <w:r w:rsidR="00DB6D36">
        <w:rPr>
          <w:b/>
          <w:bCs/>
          <w:color w:val="auto"/>
        </w:rPr>
        <w:t>.0</w:t>
      </w:r>
      <w:r w:rsidR="00DB6D36">
        <w:rPr>
          <w:b/>
          <w:bCs/>
          <w:color w:val="auto"/>
        </w:rPr>
        <w:tab/>
      </w:r>
      <w:r w:rsidR="00054B45">
        <w:rPr>
          <w:b/>
          <w:bCs/>
          <w:color w:val="auto"/>
        </w:rPr>
        <w:t>P</w:t>
      </w:r>
      <w:r w:rsidR="001C2FC6" w:rsidRPr="00E245B0">
        <w:rPr>
          <w:b/>
          <w:bCs/>
          <w:color w:val="auto"/>
        </w:rPr>
        <w:t xml:space="preserve">rovider patient safety incident response policies and plans </w:t>
      </w:r>
    </w:p>
    <w:p w14:paraId="084F41FC" w14:textId="1F7F618B" w:rsidR="00054B45" w:rsidRPr="00E72550" w:rsidRDefault="00054B45" w:rsidP="00E245B0">
      <w:pPr>
        <w:pStyle w:val="Default"/>
        <w:spacing w:after="200" w:line="360" w:lineRule="auto"/>
        <w:ind w:left="-57"/>
        <w:rPr>
          <w:sz w:val="22"/>
          <w:szCs w:val="22"/>
        </w:rPr>
      </w:pPr>
      <w:r w:rsidRPr="00E72550">
        <w:rPr>
          <w:sz w:val="22"/>
          <w:szCs w:val="22"/>
        </w:rPr>
        <w:t>The ICB will work collaboratively with providers to support development and review of their patient safety incident response plan and policy ahead of formal approval by the provider Board and ICB.</w:t>
      </w:r>
    </w:p>
    <w:p w14:paraId="74CDD800" w14:textId="76F57564" w:rsidR="00054B45" w:rsidRPr="00E72550" w:rsidRDefault="00054B45" w:rsidP="00E245B0">
      <w:pPr>
        <w:pStyle w:val="Default"/>
        <w:spacing w:after="200" w:line="360" w:lineRule="auto"/>
        <w:ind w:left="-57"/>
        <w:rPr>
          <w:sz w:val="22"/>
          <w:szCs w:val="22"/>
        </w:rPr>
      </w:pPr>
      <w:r w:rsidRPr="00E72550">
        <w:rPr>
          <w:sz w:val="22"/>
          <w:szCs w:val="22"/>
        </w:rPr>
        <w:t>Where a provider has multiple commissioners of services, the lead commissioner will lead discussion with the provider and involve associate commissioners</w:t>
      </w:r>
      <w:r w:rsidR="00A04FB0" w:rsidRPr="00E72550">
        <w:rPr>
          <w:sz w:val="22"/>
          <w:szCs w:val="22"/>
        </w:rPr>
        <w:t xml:space="preserve"> and wider stakeholders (</w:t>
      </w:r>
      <w:proofErr w:type="spellStart"/>
      <w:proofErr w:type="gramStart"/>
      <w:r w:rsidR="00A04FB0" w:rsidRPr="00E72550">
        <w:rPr>
          <w:sz w:val="22"/>
          <w:szCs w:val="22"/>
        </w:rPr>
        <w:t>eg</w:t>
      </w:r>
      <w:proofErr w:type="spellEnd"/>
      <w:proofErr w:type="gramEnd"/>
      <w:r w:rsidR="00A04FB0" w:rsidRPr="00E72550">
        <w:rPr>
          <w:sz w:val="22"/>
          <w:szCs w:val="22"/>
        </w:rPr>
        <w:t xml:space="preserve"> LMNS)</w:t>
      </w:r>
      <w:r w:rsidRPr="00E72550">
        <w:rPr>
          <w:sz w:val="22"/>
          <w:szCs w:val="22"/>
        </w:rPr>
        <w:t xml:space="preserve"> proportionate to their level of interest in the provider. </w:t>
      </w:r>
    </w:p>
    <w:p w14:paraId="213E83B8" w14:textId="41A57BF5" w:rsidR="00D01126" w:rsidRPr="00E72550" w:rsidRDefault="00B213E3" w:rsidP="00CC053C">
      <w:pPr>
        <w:autoSpaceDE w:val="0"/>
        <w:autoSpaceDN w:val="0"/>
        <w:adjustRightInd w:val="0"/>
        <w:spacing w:after="200" w:line="360" w:lineRule="auto"/>
        <w:ind w:left="-57"/>
        <w:rPr>
          <w:rFonts w:ascii="Arial" w:hAnsi="Arial" w:cs="Arial"/>
          <w:color w:val="000000"/>
        </w:rPr>
      </w:pPr>
      <w:r w:rsidRPr="00E72550">
        <w:rPr>
          <w:rFonts w:ascii="Arial" w:hAnsi="Arial" w:cs="Arial"/>
          <w:color w:val="000000"/>
        </w:rPr>
        <w:t>The ICB when considering PSIRF plans must ensure that it is clearly stated how the organisation intends to deliver an effective response to patient safety incidents. The response methods the organisation intends to use to respond to patient safety incidents for the purpose of learning and improvement must also be detailed</w:t>
      </w:r>
      <w:r w:rsidR="00054B45" w:rsidRPr="00E72550">
        <w:rPr>
          <w:rFonts w:ascii="Arial" w:hAnsi="Arial" w:cs="Arial"/>
          <w:color w:val="000000"/>
        </w:rPr>
        <w:t xml:space="preserve"> as well as how they will engage with, and support, those directly involved in the incident</w:t>
      </w:r>
      <w:r w:rsidRPr="00E72550">
        <w:rPr>
          <w:rFonts w:ascii="Arial" w:hAnsi="Arial" w:cs="Arial"/>
          <w:color w:val="000000"/>
        </w:rPr>
        <w:t xml:space="preserve">. </w:t>
      </w:r>
    </w:p>
    <w:p w14:paraId="04913EF3" w14:textId="699CAD68" w:rsidR="00A04FB0" w:rsidRPr="00E72550" w:rsidRDefault="00A04FB0" w:rsidP="00CC053C">
      <w:pPr>
        <w:autoSpaceDE w:val="0"/>
        <w:autoSpaceDN w:val="0"/>
        <w:adjustRightInd w:val="0"/>
        <w:spacing w:after="200" w:line="360" w:lineRule="auto"/>
        <w:ind w:left="-57"/>
        <w:rPr>
          <w:rFonts w:ascii="Arial" w:hAnsi="Arial" w:cs="Arial"/>
          <w:color w:val="000000"/>
        </w:rPr>
      </w:pPr>
      <w:r w:rsidRPr="00E72550">
        <w:rPr>
          <w:rFonts w:ascii="Arial" w:hAnsi="Arial" w:cs="Arial"/>
          <w:color w:val="000000"/>
        </w:rPr>
        <w:t xml:space="preserve">The ICB will also seek assurance that there has been engagement with staff and patients in the drafting and reviewing of their plan and policy, including identification of local priorities. </w:t>
      </w:r>
    </w:p>
    <w:p w14:paraId="764FDF31" w14:textId="409D687C" w:rsidR="00D01126" w:rsidRPr="00E72550" w:rsidRDefault="00D01126" w:rsidP="00D01126">
      <w:pPr>
        <w:pStyle w:val="Default"/>
        <w:spacing w:after="200" w:line="360" w:lineRule="auto"/>
        <w:ind w:left="-57"/>
        <w:rPr>
          <w:sz w:val="22"/>
          <w:szCs w:val="22"/>
        </w:rPr>
      </w:pPr>
      <w:r w:rsidRPr="00E72550">
        <w:rPr>
          <w:sz w:val="22"/>
          <w:szCs w:val="22"/>
        </w:rPr>
        <w:t xml:space="preserve">Monitoring and </w:t>
      </w:r>
      <w:r w:rsidR="00696AED" w:rsidRPr="00E72550">
        <w:rPr>
          <w:sz w:val="22"/>
          <w:szCs w:val="22"/>
        </w:rPr>
        <w:t>regular</w:t>
      </w:r>
      <w:r w:rsidRPr="00E72550">
        <w:rPr>
          <w:sz w:val="22"/>
          <w:szCs w:val="22"/>
        </w:rPr>
        <w:t xml:space="preserve"> review of the PSIRP must form part of the overarching quality governance arrangements and be supported by clear financial planning to ensure that appropriate resources are allocated to review, investigation and improvement activities. </w:t>
      </w:r>
    </w:p>
    <w:p w14:paraId="1B3CBCBC" w14:textId="0B9B4E70" w:rsidR="00A04FB0" w:rsidRPr="00E72550" w:rsidRDefault="00A04FB0" w:rsidP="00A04FB0">
      <w:pPr>
        <w:pStyle w:val="Default"/>
        <w:spacing w:after="200" w:line="360" w:lineRule="auto"/>
        <w:ind w:left="-57"/>
        <w:rPr>
          <w:sz w:val="22"/>
          <w:szCs w:val="22"/>
        </w:rPr>
      </w:pPr>
      <w:r w:rsidRPr="00E72550">
        <w:rPr>
          <w:sz w:val="22"/>
          <w:szCs w:val="22"/>
        </w:rPr>
        <w:lastRenderedPageBreak/>
        <w:t xml:space="preserve">The ICB PSS and quality leads will collaborate with the provider to assess whether the systems and processes put in place to respond to patient safety incidents have achieved demonstrable improvement. </w:t>
      </w:r>
    </w:p>
    <w:p w14:paraId="7132413A" w14:textId="43E619CD" w:rsidR="00D01126" w:rsidRPr="00E72550" w:rsidRDefault="00D01126" w:rsidP="00D01126">
      <w:pPr>
        <w:pStyle w:val="Default"/>
        <w:spacing w:after="200" w:line="360" w:lineRule="auto"/>
        <w:ind w:left="-57"/>
        <w:rPr>
          <w:sz w:val="22"/>
          <w:szCs w:val="22"/>
        </w:rPr>
      </w:pPr>
      <w:r w:rsidRPr="00E72550">
        <w:rPr>
          <w:sz w:val="22"/>
          <w:szCs w:val="22"/>
        </w:rPr>
        <w:t xml:space="preserve">Where a regulator or oversight organisation has concerns regarding the safety of NHS commissioned services, additional information and assurance will be sought from the provider. If this involves the commissioning of an independent investigation or review, this will be additional to those in the provider’s PSIRP. </w:t>
      </w:r>
    </w:p>
    <w:p w14:paraId="6D78AFB4" w14:textId="77777777" w:rsidR="00DB6D36" w:rsidRPr="00DB6D36" w:rsidRDefault="00DB6D36" w:rsidP="00D01126">
      <w:pPr>
        <w:pStyle w:val="Default"/>
        <w:spacing w:after="200" w:line="360" w:lineRule="auto"/>
        <w:ind w:left="-57"/>
        <w:rPr>
          <w:sz w:val="4"/>
          <w:szCs w:val="4"/>
        </w:rPr>
      </w:pPr>
    </w:p>
    <w:p w14:paraId="31A691A8" w14:textId="63FC06C6" w:rsidR="00054B45" w:rsidRPr="00054B45" w:rsidRDefault="003F3E3F" w:rsidP="00D01126">
      <w:pPr>
        <w:pStyle w:val="Default"/>
        <w:spacing w:after="200" w:line="360" w:lineRule="auto"/>
        <w:ind w:left="-57"/>
        <w:rPr>
          <w:b/>
          <w:bCs/>
          <w:sz w:val="22"/>
          <w:szCs w:val="22"/>
        </w:rPr>
      </w:pPr>
      <w:r>
        <w:rPr>
          <w:b/>
          <w:bCs/>
          <w:sz w:val="22"/>
          <w:szCs w:val="22"/>
        </w:rPr>
        <w:t>8</w:t>
      </w:r>
      <w:r w:rsidR="00054B45" w:rsidRPr="00054B45">
        <w:rPr>
          <w:b/>
          <w:bCs/>
          <w:sz w:val="22"/>
          <w:szCs w:val="22"/>
        </w:rPr>
        <w:t>.0</w:t>
      </w:r>
      <w:r w:rsidR="00DB6D36">
        <w:rPr>
          <w:b/>
          <w:bCs/>
          <w:sz w:val="22"/>
          <w:szCs w:val="22"/>
        </w:rPr>
        <w:tab/>
      </w:r>
      <w:r w:rsidR="00054B45" w:rsidRPr="00054B45">
        <w:rPr>
          <w:b/>
          <w:bCs/>
          <w:sz w:val="22"/>
          <w:szCs w:val="22"/>
        </w:rPr>
        <w:t>Approval of Provider patient safety incident response policies and plans</w:t>
      </w:r>
    </w:p>
    <w:p w14:paraId="735E0557" w14:textId="233CFD98" w:rsidR="00054B45" w:rsidRPr="007029DD" w:rsidRDefault="00054B45" w:rsidP="00054B45">
      <w:pPr>
        <w:pStyle w:val="Default"/>
        <w:spacing w:after="200" w:line="360" w:lineRule="auto"/>
        <w:ind w:left="-57"/>
        <w:rPr>
          <w:sz w:val="22"/>
          <w:szCs w:val="22"/>
        </w:rPr>
      </w:pPr>
      <w:r w:rsidRPr="007029DD">
        <w:rPr>
          <w:sz w:val="22"/>
          <w:szCs w:val="22"/>
        </w:rPr>
        <w:t xml:space="preserve">The ICB is required to approve and sign off the incident response policies and plans for provider organisations </w:t>
      </w:r>
      <w:r>
        <w:rPr>
          <w:sz w:val="22"/>
          <w:szCs w:val="22"/>
        </w:rPr>
        <w:t>within the Hertfordshire and West Essex</w:t>
      </w:r>
      <w:r w:rsidRPr="007029DD">
        <w:rPr>
          <w:sz w:val="22"/>
          <w:szCs w:val="22"/>
        </w:rPr>
        <w:t xml:space="preserve"> system</w:t>
      </w:r>
      <w:r w:rsidR="00A04FB0">
        <w:rPr>
          <w:sz w:val="22"/>
          <w:szCs w:val="22"/>
        </w:rPr>
        <w:t>, or where is has been agreed that the ICB is the lead commissioner</w:t>
      </w:r>
      <w:r w:rsidRPr="007029DD">
        <w:rPr>
          <w:sz w:val="22"/>
          <w:szCs w:val="22"/>
        </w:rPr>
        <w:t xml:space="preserve">. Approval of an organisation’s policy and plan demonstrates the ICB acknowledgement that the documents have been developed according to PSIRF guidance and meet (or demonstrate a plan to meet) PSIRF standards. </w:t>
      </w:r>
    </w:p>
    <w:p w14:paraId="5A8B4F98" w14:textId="7C699AE6" w:rsidR="00D01126" w:rsidRPr="00696AED" w:rsidRDefault="00054B45" w:rsidP="00A04FB0">
      <w:pPr>
        <w:pStyle w:val="Default"/>
        <w:spacing w:after="200" w:line="360" w:lineRule="auto"/>
        <w:ind w:left="-57"/>
        <w:rPr>
          <w:sz w:val="22"/>
          <w:szCs w:val="22"/>
        </w:rPr>
      </w:pPr>
      <w:r w:rsidRPr="00696AED">
        <w:rPr>
          <w:sz w:val="22"/>
          <w:szCs w:val="22"/>
        </w:rPr>
        <w:t xml:space="preserve">The ICB Provider sign off process can be found in Appendix 3. </w:t>
      </w:r>
    </w:p>
    <w:p w14:paraId="511F1669" w14:textId="57D9B982" w:rsidR="00DB6D36" w:rsidRPr="00E245B0" w:rsidRDefault="003F3E3F" w:rsidP="00DB6D36">
      <w:pPr>
        <w:pStyle w:val="Default"/>
        <w:spacing w:after="200" w:line="360" w:lineRule="auto"/>
        <w:rPr>
          <w:color w:val="auto"/>
        </w:rPr>
      </w:pPr>
      <w:r>
        <w:rPr>
          <w:b/>
          <w:bCs/>
          <w:color w:val="auto"/>
        </w:rPr>
        <w:t>9</w:t>
      </w:r>
      <w:r w:rsidR="00DB6D36">
        <w:rPr>
          <w:b/>
          <w:bCs/>
          <w:color w:val="auto"/>
        </w:rPr>
        <w:t>.0</w:t>
      </w:r>
      <w:r w:rsidR="00DB6D36">
        <w:rPr>
          <w:b/>
          <w:bCs/>
          <w:color w:val="auto"/>
        </w:rPr>
        <w:tab/>
        <w:t>C</w:t>
      </w:r>
      <w:r w:rsidR="00DB6D36" w:rsidRPr="00E245B0">
        <w:rPr>
          <w:b/>
          <w:bCs/>
          <w:color w:val="auto"/>
        </w:rPr>
        <w:t xml:space="preserve">ross </w:t>
      </w:r>
      <w:r w:rsidR="00DB6D36">
        <w:rPr>
          <w:b/>
          <w:bCs/>
          <w:color w:val="auto"/>
        </w:rPr>
        <w:t>S</w:t>
      </w:r>
      <w:r w:rsidR="00DB6D36" w:rsidRPr="00E245B0">
        <w:rPr>
          <w:b/>
          <w:bCs/>
          <w:color w:val="auto"/>
        </w:rPr>
        <w:t xml:space="preserve">ystem </w:t>
      </w:r>
      <w:r w:rsidR="00DB6D36">
        <w:rPr>
          <w:b/>
          <w:bCs/>
          <w:color w:val="auto"/>
        </w:rPr>
        <w:t xml:space="preserve">Investigations </w:t>
      </w:r>
    </w:p>
    <w:p w14:paraId="30AB93E9" w14:textId="77777777" w:rsidR="00DB6D36" w:rsidRPr="007029DD" w:rsidRDefault="00DB6D36" w:rsidP="00DB6D36">
      <w:pPr>
        <w:pStyle w:val="Default"/>
        <w:spacing w:after="200" w:line="360" w:lineRule="auto"/>
        <w:ind w:left="-57"/>
        <w:rPr>
          <w:sz w:val="22"/>
          <w:szCs w:val="22"/>
        </w:rPr>
      </w:pPr>
      <w:r w:rsidRPr="007029DD">
        <w:rPr>
          <w:sz w:val="22"/>
          <w:szCs w:val="22"/>
        </w:rPr>
        <w:t>There is frequently more than 1 organisation involved in the care and service delivery in which a patient safety incident has taken place</w:t>
      </w:r>
      <w:r>
        <w:rPr>
          <w:sz w:val="22"/>
          <w:szCs w:val="22"/>
        </w:rPr>
        <w:t>;</w:t>
      </w:r>
      <w:r w:rsidRPr="007029DD">
        <w:rPr>
          <w:sz w:val="22"/>
          <w:szCs w:val="22"/>
        </w:rPr>
        <w:t xml:space="preserve"> all providers</w:t>
      </w:r>
      <w:r>
        <w:rPr>
          <w:sz w:val="22"/>
          <w:szCs w:val="22"/>
        </w:rPr>
        <w:t xml:space="preserve"> and commissioners</w:t>
      </w:r>
      <w:r w:rsidRPr="007029DD">
        <w:rPr>
          <w:sz w:val="22"/>
          <w:szCs w:val="22"/>
        </w:rPr>
        <w:t xml:space="preserve"> must have a process in place to recognise incidents that require a cross system learning response. </w:t>
      </w:r>
    </w:p>
    <w:p w14:paraId="41561C59" w14:textId="77777777" w:rsidR="00DB6D36" w:rsidRPr="007029DD" w:rsidRDefault="00DB6D36" w:rsidP="00DB6D36">
      <w:pPr>
        <w:pStyle w:val="Default"/>
        <w:spacing w:after="200" w:line="360" w:lineRule="auto"/>
        <w:ind w:left="-57"/>
        <w:rPr>
          <w:sz w:val="22"/>
          <w:szCs w:val="22"/>
        </w:rPr>
      </w:pPr>
      <w:r w:rsidRPr="007029DD">
        <w:rPr>
          <w:sz w:val="22"/>
          <w:szCs w:val="22"/>
        </w:rPr>
        <w:t xml:space="preserve">The organisation that identifies the incident is responsible for recognising the need to alert other providers, commissioners, and partner organisations via their respective risk management or governance teams. A lead organisation should be identified to coordinate the investigation, this should be agreed by all organisations involved. </w:t>
      </w:r>
    </w:p>
    <w:p w14:paraId="1F8A5FD8" w14:textId="773AA69A" w:rsidR="00DB6D36" w:rsidRPr="007029DD" w:rsidRDefault="00DB6D36" w:rsidP="00DB6D36">
      <w:pPr>
        <w:pStyle w:val="Default"/>
        <w:spacing w:after="200" w:line="360" w:lineRule="auto"/>
        <w:ind w:left="-57"/>
        <w:rPr>
          <w:sz w:val="22"/>
          <w:szCs w:val="22"/>
        </w:rPr>
      </w:pPr>
      <w:r w:rsidRPr="007029DD">
        <w:rPr>
          <w:sz w:val="22"/>
          <w:szCs w:val="22"/>
        </w:rPr>
        <w:t>Responses should be managed as locally as possible to facilitate the involvement of those affected by the incident and those responsible for delivery of the service where the incident occurred. However, where a PSII involving multiple providers and or services across a care pathway is too complex or costly to be managed by a single provider the ICB will support the co-ordination of a cross system PSII</w:t>
      </w:r>
      <w:r w:rsidR="00696AED">
        <w:rPr>
          <w:sz w:val="22"/>
          <w:szCs w:val="22"/>
        </w:rPr>
        <w:t>; working with local HCPs where appropriate</w:t>
      </w:r>
      <w:r w:rsidRPr="007029DD">
        <w:rPr>
          <w:sz w:val="22"/>
          <w:szCs w:val="22"/>
        </w:rPr>
        <w:t xml:space="preserve">. </w:t>
      </w:r>
    </w:p>
    <w:p w14:paraId="1A8BAF52" w14:textId="77777777" w:rsidR="00DB6D36" w:rsidRPr="007029DD" w:rsidRDefault="00DB6D36" w:rsidP="00DB6D36">
      <w:pPr>
        <w:pStyle w:val="Default"/>
        <w:spacing w:after="200" w:line="360" w:lineRule="auto"/>
        <w:ind w:left="-57"/>
        <w:rPr>
          <w:sz w:val="22"/>
          <w:szCs w:val="22"/>
        </w:rPr>
      </w:pPr>
      <w:r w:rsidRPr="007029DD">
        <w:rPr>
          <w:sz w:val="22"/>
          <w:szCs w:val="22"/>
        </w:rPr>
        <w:lastRenderedPageBreak/>
        <w:t xml:space="preserve">The ICB will seek the views of local system partners to ensure that learning responses are co-ordinated at the most appropriate level of the system. Where there is insufficient capacity and or capability, providers should engage early with the ICB who will support the co-ordination of a cross system learning response. </w:t>
      </w:r>
    </w:p>
    <w:p w14:paraId="7BD1AC0F" w14:textId="77777777" w:rsidR="00DB6D36" w:rsidRDefault="00DB6D36" w:rsidP="00DB6D36">
      <w:pPr>
        <w:pStyle w:val="Default"/>
        <w:spacing w:after="200" w:line="360" w:lineRule="auto"/>
        <w:ind w:left="-57"/>
        <w:rPr>
          <w:sz w:val="22"/>
          <w:szCs w:val="22"/>
        </w:rPr>
      </w:pPr>
      <w:r w:rsidRPr="007029DD">
        <w:rPr>
          <w:sz w:val="22"/>
          <w:szCs w:val="22"/>
        </w:rPr>
        <w:t>The ICB PSS will liaise with relevant providers (and other ICBs or ICS</w:t>
      </w:r>
      <w:r>
        <w:rPr>
          <w:sz w:val="22"/>
          <w:szCs w:val="22"/>
        </w:rPr>
        <w:t>s</w:t>
      </w:r>
      <w:r w:rsidRPr="007029DD">
        <w:rPr>
          <w:sz w:val="22"/>
          <w:szCs w:val="22"/>
        </w:rPr>
        <w:t xml:space="preserve"> if appropriate) to agree how the PSII will be led and managed and how actions will be monitored. </w:t>
      </w:r>
      <w:r>
        <w:rPr>
          <w:sz w:val="22"/>
          <w:szCs w:val="22"/>
        </w:rPr>
        <w:t xml:space="preserve">Where necessary this will include appropriate record sharing across organisations. </w:t>
      </w:r>
    </w:p>
    <w:p w14:paraId="35C2C265" w14:textId="77777777" w:rsidR="00DB6D36" w:rsidRPr="007029DD" w:rsidRDefault="00DB6D36" w:rsidP="00DB6D36">
      <w:pPr>
        <w:pStyle w:val="Default"/>
        <w:spacing w:after="200" w:line="360" w:lineRule="auto"/>
        <w:ind w:left="-57"/>
        <w:rPr>
          <w:sz w:val="22"/>
          <w:szCs w:val="22"/>
        </w:rPr>
      </w:pPr>
      <w:r w:rsidRPr="007029DD">
        <w:rPr>
          <w:sz w:val="22"/>
          <w:szCs w:val="22"/>
        </w:rPr>
        <w:t xml:space="preserve">The incident should be reported onto STEIS by the lead organisation until the learn from patient safety events (LFPSE) system is launched nationally. All providers are expected to respond and participate in joint investigations when requested. </w:t>
      </w:r>
    </w:p>
    <w:p w14:paraId="0BA87BC7" w14:textId="08F99DE5" w:rsidR="00DB6D36" w:rsidRDefault="00DB6D36" w:rsidP="00DB6D36">
      <w:pPr>
        <w:spacing w:after="200" w:line="360" w:lineRule="auto"/>
        <w:ind w:left="-57"/>
        <w:rPr>
          <w:rFonts w:ascii="Arial" w:hAnsi="Arial" w:cs="Arial"/>
        </w:rPr>
      </w:pPr>
      <w:r w:rsidRPr="007029DD">
        <w:rPr>
          <w:rFonts w:ascii="Arial" w:hAnsi="Arial" w:cs="Arial"/>
        </w:rPr>
        <w:t>The ICB will also ensure that providers have systems in place to support a co-ordinated and measured, systems-based response to high profile or complex incidents such as mental health homicides which includes how to support the needs of those affected during the investigation.</w:t>
      </w:r>
      <w:r>
        <w:rPr>
          <w:rFonts w:ascii="Arial" w:hAnsi="Arial" w:cs="Arial"/>
        </w:rPr>
        <w:t xml:space="preserve"> The ICB will work with the NHS England Regional Independent Investigations Team where appropriate, including working with providers to ensure referral of relevant cases. </w:t>
      </w:r>
      <w:r w:rsidRPr="007029DD">
        <w:rPr>
          <w:rFonts w:ascii="Arial" w:hAnsi="Arial" w:cs="Arial"/>
        </w:rPr>
        <w:t xml:space="preserve"> </w:t>
      </w:r>
    </w:p>
    <w:p w14:paraId="6C5F3A4F" w14:textId="10264254" w:rsidR="00DB6D36" w:rsidRPr="003B2946" w:rsidRDefault="003F3E3F" w:rsidP="00DB6D36">
      <w:pPr>
        <w:pStyle w:val="Default"/>
        <w:spacing w:after="200" w:line="360" w:lineRule="auto"/>
        <w:ind w:left="-57"/>
        <w:rPr>
          <w:b/>
          <w:bCs/>
          <w:color w:val="auto"/>
        </w:rPr>
      </w:pPr>
      <w:r>
        <w:rPr>
          <w:b/>
          <w:bCs/>
          <w:color w:val="auto"/>
        </w:rPr>
        <w:t>10</w:t>
      </w:r>
      <w:r w:rsidR="00DB6D36">
        <w:rPr>
          <w:b/>
          <w:bCs/>
          <w:color w:val="auto"/>
        </w:rPr>
        <w:t>.0</w:t>
      </w:r>
      <w:r w:rsidR="00DB6D36">
        <w:rPr>
          <w:b/>
          <w:bCs/>
          <w:color w:val="auto"/>
        </w:rPr>
        <w:tab/>
      </w:r>
      <w:r w:rsidR="00DB6D36" w:rsidRPr="00E245B0">
        <w:rPr>
          <w:b/>
          <w:bCs/>
          <w:color w:val="auto"/>
        </w:rPr>
        <w:t>Patient</w:t>
      </w:r>
      <w:r w:rsidR="00DB6D36" w:rsidRPr="003B2946">
        <w:rPr>
          <w:b/>
          <w:bCs/>
          <w:color w:val="auto"/>
        </w:rPr>
        <w:t xml:space="preserve"> </w:t>
      </w:r>
      <w:r w:rsidR="00DB6D36">
        <w:rPr>
          <w:b/>
          <w:bCs/>
          <w:color w:val="auto"/>
        </w:rPr>
        <w:t>S</w:t>
      </w:r>
      <w:r w:rsidR="00DB6D36" w:rsidRPr="003B2946">
        <w:rPr>
          <w:b/>
          <w:bCs/>
          <w:color w:val="auto"/>
        </w:rPr>
        <w:t xml:space="preserve">afety </w:t>
      </w:r>
      <w:r w:rsidR="00DB6D36">
        <w:rPr>
          <w:b/>
          <w:bCs/>
          <w:color w:val="auto"/>
        </w:rPr>
        <w:t>T</w:t>
      </w:r>
      <w:r w:rsidR="00DB6D36" w:rsidRPr="003B2946">
        <w:rPr>
          <w:b/>
          <w:bCs/>
          <w:color w:val="auto"/>
        </w:rPr>
        <w:t xml:space="preserve">raining </w:t>
      </w:r>
    </w:p>
    <w:p w14:paraId="1C4CE469" w14:textId="05288DBB" w:rsidR="00DB6D36" w:rsidRPr="003F3E3F" w:rsidRDefault="003F3E3F" w:rsidP="00DB6D36">
      <w:pPr>
        <w:shd w:val="clear" w:color="auto" w:fill="FFFFFF"/>
        <w:spacing w:after="200" w:line="360" w:lineRule="auto"/>
        <w:ind w:left="-57"/>
        <w:rPr>
          <w:rFonts w:ascii="Arial" w:eastAsia="Times New Roman" w:hAnsi="Arial" w:cs="Arial"/>
          <w:b/>
          <w:bCs/>
          <w:sz w:val="24"/>
          <w:szCs w:val="24"/>
        </w:rPr>
      </w:pPr>
      <w:r w:rsidRPr="003F3E3F">
        <w:rPr>
          <w:rFonts w:ascii="Arial" w:eastAsia="Times New Roman" w:hAnsi="Arial" w:cs="Arial"/>
          <w:b/>
          <w:bCs/>
          <w:sz w:val="24"/>
          <w:szCs w:val="24"/>
        </w:rPr>
        <w:t>10</w:t>
      </w:r>
      <w:r w:rsidR="00DB6D36" w:rsidRPr="003F3E3F">
        <w:rPr>
          <w:rFonts w:ascii="Arial" w:eastAsia="Times New Roman" w:hAnsi="Arial" w:cs="Arial"/>
          <w:b/>
          <w:bCs/>
          <w:sz w:val="24"/>
          <w:szCs w:val="24"/>
        </w:rPr>
        <w:t>.1     Patient Safety Syllabus Training</w:t>
      </w:r>
    </w:p>
    <w:p w14:paraId="4CE33F6C" w14:textId="72E703ED" w:rsidR="00DB6D36" w:rsidRPr="00696AED" w:rsidRDefault="00DB6D36" w:rsidP="00DB6D36">
      <w:pPr>
        <w:shd w:val="clear" w:color="auto" w:fill="FFFFFF"/>
        <w:spacing w:after="200" w:line="360" w:lineRule="auto"/>
        <w:ind w:left="-57"/>
        <w:rPr>
          <w:rFonts w:ascii="Arial" w:hAnsi="Arial" w:cs="Arial"/>
          <w:color w:val="000000"/>
        </w:rPr>
      </w:pPr>
      <w:r w:rsidRPr="00696AED">
        <w:rPr>
          <w:rFonts w:ascii="Arial" w:hAnsi="Arial" w:cs="Arial"/>
          <w:color w:val="000000"/>
        </w:rPr>
        <w:t xml:space="preserve">The </w:t>
      </w:r>
      <w:r w:rsidRPr="00696AED">
        <w:rPr>
          <w:rFonts w:ascii="Arial" w:hAnsi="Arial" w:cs="Arial"/>
        </w:rPr>
        <w:t>Patient Safety Syllabus, Curriculum Guidance and e-learning</w:t>
      </w:r>
      <w:r w:rsidRPr="00696AED">
        <w:rPr>
          <w:rFonts w:ascii="Arial" w:hAnsi="Arial" w:cs="Arial"/>
          <w:color w:val="000000"/>
        </w:rPr>
        <w:t xml:space="preserve"> has been developed following the publication of the </w:t>
      </w:r>
      <w:r w:rsidRPr="00696AED">
        <w:rPr>
          <w:rFonts w:ascii="Arial" w:hAnsi="Arial" w:cs="Arial"/>
        </w:rPr>
        <w:t>NHS Patient Safety Strategy</w:t>
      </w:r>
      <w:r w:rsidRPr="00696AED">
        <w:rPr>
          <w:rFonts w:ascii="Arial" w:hAnsi="Arial" w:cs="Arial"/>
          <w:color w:val="000000"/>
        </w:rPr>
        <w:t>. The syllabus sets out a new approach to patient safety emphasising a proactive approach to identifying risks to safe care while also including systems thinking and human factors.</w:t>
      </w:r>
    </w:p>
    <w:p w14:paraId="450503AD" w14:textId="77777777" w:rsidR="00DB6D36" w:rsidRDefault="00DB6D36" w:rsidP="00DB6D36">
      <w:pPr>
        <w:pStyle w:val="NormalWeb"/>
        <w:spacing w:after="200" w:line="360" w:lineRule="auto"/>
        <w:ind w:left="-57"/>
        <w:rPr>
          <w:rFonts w:ascii="Arial" w:hAnsi="Arial" w:cs="Arial"/>
          <w:color w:val="000000"/>
          <w:sz w:val="24"/>
          <w:szCs w:val="24"/>
        </w:rPr>
      </w:pPr>
      <w:r w:rsidRPr="00B239A4">
        <w:rPr>
          <w:rFonts w:ascii="Arial" w:hAnsi="Arial" w:cs="Arial"/>
          <w:b/>
          <w:bCs/>
          <w:color w:val="000000"/>
          <w:sz w:val="24"/>
          <w:szCs w:val="24"/>
        </w:rPr>
        <w:t>Level 1 and 2</w:t>
      </w:r>
      <w:r>
        <w:rPr>
          <w:rFonts w:ascii="Arial" w:hAnsi="Arial" w:cs="Arial"/>
          <w:color w:val="000000"/>
          <w:sz w:val="24"/>
          <w:szCs w:val="24"/>
        </w:rPr>
        <w:t xml:space="preserve"> </w:t>
      </w:r>
    </w:p>
    <w:p w14:paraId="6C6ADDD6" w14:textId="77777777" w:rsidR="00DB6D36" w:rsidRPr="00696AED" w:rsidRDefault="00DB6D36" w:rsidP="00DB6D36">
      <w:pPr>
        <w:pStyle w:val="NormalWeb"/>
        <w:spacing w:after="200" w:line="360" w:lineRule="auto"/>
        <w:ind w:left="-57"/>
        <w:rPr>
          <w:rFonts w:ascii="Arial" w:eastAsia="Times New Roman" w:hAnsi="Arial" w:cs="Arial"/>
          <w:b/>
          <w:bCs/>
          <w:sz w:val="24"/>
          <w:szCs w:val="24"/>
        </w:rPr>
      </w:pPr>
      <w:r w:rsidRPr="00696AED">
        <w:rPr>
          <w:rFonts w:ascii="Arial" w:hAnsi="Arial" w:cs="Arial"/>
          <w:color w:val="000000"/>
        </w:rPr>
        <w:t>Level 1 and 2 training has been made mandatory for all ICB staff. Completion of the training will help to ensure health and care services are as safe as possible for patients and service users.</w:t>
      </w:r>
      <w:r w:rsidRPr="00696AED">
        <w:rPr>
          <w:rFonts w:ascii="Arial" w:eastAsia="Times New Roman" w:hAnsi="Arial" w:cs="Arial"/>
          <w:b/>
          <w:bCs/>
          <w:sz w:val="24"/>
          <w:szCs w:val="24"/>
        </w:rPr>
        <w:t xml:space="preserve"> </w:t>
      </w:r>
    </w:p>
    <w:p w14:paraId="5ACD3A59" w14:textId="77777777" w:rsidR="00DB6D36" w:rsidRDefault="00DB6D36" w:rsidP="00DB6D36">
      <w:pPr>
        <w:pStyle w:val="Heading2"/>
        <w:spacing w:after="240" w:line="276" w:lineRule="auto"/>
        <w:rPr>
          <w:rFonts w:ascii="Arial" w:eastAsia="Times New Roman" w:hAnsi="Arial" w:cs="Arial"/>
          <w:color w:val="auto"/>
          <w:sz w:val="24"/>
          <w:szCs w:val="24"/>
        </w:rPr>
      </w:pPr>
      <w:r>
        <w:rPr>
          <w:rFonts w:ascii="Arial" w:eastAsia="Times New Roman" w:hAnsi="Arial" w:cs="Arial"/>
          <w:b/>
          <w:bCs/>
          <w:color w:val="auto"/>
          <w:sz w:val="24"/>
          <w:szCs w:val="24"/>
        </w:rPr>
        <w:t>L</w:t>
      </w:r>
      <w:r w:rsidRPr="00B239A4">
        <w:rPr>
          <w:rFonts w:ascii="Arial" w:eastAsia="Times New Roman" w:hAnsi="Arial" w:cs="Arial"/>
          <w:b/>
          <w:bCs/>
          <w:color w:val="auto"/>
          <w:sz w:val="24"/>
          <w:szCs w:val="24"/>
        </w:rPr>
        <w:t>evels 3 and 4</w:t>
      </w:r>
      <w:r w:rsidRPr="00B239A4">
        <w:rPr>
          <w:rFonts w:ascii="Arial" w:eastAsia="Times New Roman" w:hAnsi="Arial" w:cs="Arial"/>
          <w:color w:val="auto"/>
          <w:sz w:val="24"/>
          <w:szCs w:val="24"/>
        </w:rPr>
        <w:t xml:space="preserve"> </w:t>
      </w:r>
    </w:p>
    <w:p w14:paraId="0E445FD9" w14:textId="77777777" w:rsidR="00DB6D36" w:rsidRPr="00B239A4" w:rsidRDefault="00DB6D36" w:rsidP="00DB6D36">
      <w:pPr>
        <w:spacing w:after="200" w:line="360" w:lineRule="auto"/>
        <w:ind w:left="-57"/>
        <w:rPr>
          <w:rFonts w:ascii="Arial" w:eastAsiaTheme="minorHAnsi" w:hAnsi="Arial" w:cs="Arial"/>
        </w:rPr>
      </w:pPr>
      <w:r w:rsidRPr="00B239A4">
        <w:rPr>
          <w:rFonts w:ascii="Arial" w:hAnsi="Arial" w:cs="Arial"/>
          <w:color w:val="000000"/>
        </w:rPr>
        <w:t xml:space="preserve">In addition to the level 1 and 2 training, all Patient Safety Specialists working in NHS organisations and registered with NHS England will be required to undertake level 3 and 4 training via a blended learning approach and will commence in the autumn of 2023. </w:t>
      </w:r>
    </w:p>
    <w:p w14:paraId="701DB071" w14:textId="22978001" w:rsidR="00DB6D36" w:rsidRPr="003F3E3F" w:rsidRDefault="003F3E3F" w:rsidP="00DB6D36">
      <w:pPr>
        <w:pStyle w:val="Default"/>
        <w:spacing w:after="200" w:line="360" w:lineRule="auto"/>
        <w:ind w:left="-57"/>
        <w:rPr>
          <w:b/>
          <w:bCs/>
          <w:color w:val="auto"/>
        </w:rPr>
      </w:pPr>
      <w:r w:rsidRPr="003F3E3F">
        <w:rPr>
          <w:b/>
          <w:bCs/>
          <w:color w:val="auto"/>
        </w:rPr>
        <w:lastRenderedPageBreak/>
        <w:t>10</w:t>
      </w:r>
      <w:r w:rsidR="00DB6D36" w:rsidRPr="003F3E3F">
        <w:rPr>
          <w:b/>
          <w:bCs/>
          <w:color w:val="auto"/>
        </w:rPr>
        <w:t xml:space="preserve">.2 PSIRF Specific Training </w:t>
      </w:r>
    </w:p>
    <w:p w14:paraId="3E06CA20" w14:textId="77777777" w:rsidR="00DB6D36" w:rsidRDefault="00DB6D36" w:rsidP="00DB6D36">
      <w:pPr>
        <w:pStyle w:val="Default"/>
        <w:spacing w:after="200" w:line="360" w:lineRule="auto"/>
        <w:ind w:left="-57"/>
        <w:rPr>
          <w:sz w:val="22"/>
          <w:szCs w:val="22"/>
        </w:rPr>
      </w:pPr>
      <w:r w:rsidRPr="007029DD">
        <w:rPr>
          <w:sz w:val="22"/>
          <w:szCs w:val="22"/>
        </w:rPr>
        <w:t>The ICB recognises that those involved in the review of patient safety incident</w:t>
      </w:r>
      <w:r>
        <w:rPr>
          <w:sz w:val="22"/>
          <w:szCs w:val="22"/>
        </w:rPr>
        <w:t>s</w:t>
      </w:r>
      <w:r w:rsidRPr="007029DD">
        <w:rPr>
          <w:sz w:val="22"/>
          <w:szCs w:val="22"/>
        </w:rPr>
        <w:t xml:space="preserve"> and investigations and those providing an oversight function require specific knowledge and skills. This includes knowledge of systems thinking and system-based approaches to learning from patient safety incidents. </w:t>
      </w:r>
    </w:p>
    <w:p w14:paraId="2584F6D5" w14:textId="77777777" w:rsidR="00DB6D36" w:rsidRDefault="00DB6D36" w:rsidP="00DB6D36">
      <w:pPr>
        <w:pStyle w:val="Default"/>
        <w:spacing w:after="200" w:line="360" w:lineRule="auto"/>
        <w:ind w:left="-57"/>
        <w:rPr>
          <w:sz w:val="22"/>
          <w:szCs w:val="22"/>
        </w:rPr>
      </w:pPr>
      <w:r>
        <w:rPr>
          <w:sz w:val="22"/>
          <w:szCs w:val="22"/>
        </w:rPr>
        <w:t xml:space="preserve">NHS England has developed training for staff in PSIRF specific roles, and a national procurement framework has been developed and training suppliers identified. Training includes two days training for staff involved in reviewing and investigating systems incidents, one day training for those staff that will engage with both staff and patients involved in incidents and one day training for those staff that have organisational wide oversight roles. </w:t>
      </w:r>
    </w:p>
    <w:p w14:paraId="78FE0E9C" w14:textId="552E4B5E" w:rsidR="00DB6D36" w:rsidRDefault="00DB6D36" w:rsidP="00DB6D36">
      <w:pPr>
        <w:pStyle w:val="Default"/>
        <w:spacing w:after="200" w:line="360" w:lineRule="auto"/>
        <w:ind w:left="-57"/>
        <w:rPr>
          <w:sz w:val="22"/>
          <w:szCs w:val="22"/>
        </w:rPr>
      </w:pPr>
      <w:r>
        <w:rPr>
          <w:sz w:val="22"/>
          <w:szCs w:val="22"/>
        </w:rPr>
        <w:t>The ICB is committed to ensuring that all relevant staff</w:t>
      </w:r>
      <w:r w:rsidRPr="007A2065">
        <w:rPr>
          <w:sz w:val="22"/>
          <w:szCs w:val="22"/>
        </w:rPr>
        <w:t xml:space="preserve"> </w:t>
      </w:r>
      <w:r>
        <w:rPr>
          <w:sz w:val="22"/>
          <w:szCs w:val="22"/>
        </w:rPr>
        <w:t xml:space="preserve">have </w:t>
      </w:r>
      <w:r w:rsidRPr="007A2065">
        <w:rPr>
          <w:sz w:val="22"/>
          <w:szCs w:val="22"/>
        </w:rPr>
        <w:t>a</w:t>
      </w:r>
      <w:r>
        <w:rPr>
          <w:sz w:val="22"/>
          <w:szCs w:val="22"/>
        </w:rPr>
        <w:t>ccess</w:t>
      </w:r>
      <w:r w:rsidRPr="007A2065">
        <w:rPr>
          <w:sz w:val="22"/>
          <w:szCs w:val="22"/>
        </w:rPr>
        <w:t xml:space="preserve"> to appropriate, high quality patient safety training</w:t>
      </w:r>
      <w:r>
        <w:rPr>
          <w:sz w:val="22"/>
          <w:szCs w:val="22"/>
        </w:rPr>
        <w:t xml:space="preserve"> in line with national requirements</w:t>
      </w:r>
      <w:r w:rsidRPr="007A2065">
        <w:rPr>
          <w:sz w:val="22"/>
          <w:szCs w:val="22"/>
        </w:rPr>
        <w:t>.</w:t>
      </w:r>
    </w:p>
    <w:p w14:paraId="7CFD0AED" w14:textId="7E701096" w:rsidR="00F36657" w:rsidRPr="00696AED" w:rsidRDefault="00DB6D36" w:rsidP="00696AED">
      <w:pPr>
        <w:pStyle w:val="Default"/>
        <w:spacing w:after="200" w:line="360" w:lineRule="auto"/>
        <w:ind w:left="-57"/>
        <w:rPr>
          <w:sz w:val="22"/>
          <w:szCs w:val="22"/>
        </w:rPr>
      </w:pPr>
      <w:r>
        <w:rPr>
          <w:sz w:val="22"/>
          <w:szCs w:val="22"/>
        </w:rPr>
        <w:t>In addition to the training, clear competencies were also developed for those staff involved in patient safety in either leading learning responses, patient and staff engagement and involvement and oversight. These can be found in Appendix 2.</w:t>
      </w:r>
    </w:p>
    <w:p w14:paraId="17879359" w14:textId="77777777" w:rsidR="00F36657" w:rsidRPr="00DB6D36" w:rsidRDefault="00F36657" w:rsidP="00A04FB0">
      <w:pPr>
        <w:pStyle w:val="Default"/>
        <w:spacing w:after="200" w:line="360" w:lineRule="auto"/>
        <w:ind w:left="-57"/>
        <w:rPr>
          <w:sz w:val="6"/>
          <w:szCs w:val="6"/>
        </w:rPr>
      </w:pPr>
    </w:p>
    <w:p w14:paraId="0570808B" w14:textId="4F246FE9" w:rsidR="008857BE" w:rsidRPr="00395123" w:rsidRDefault="00395123" w:rsidP="00E245B0">
      <w:pPr>
        <w:pStyle w:val="Default"/>
        <w:spacing w:after="200" w:line="360" w:lineRule="auto"/>
        <w:ind w:left="-57"/>
        <w:rPr>
          <w:b/>
          <w:bCs/>
          <w:sz w:val="22"/>
          <w:szCs w:val="22"/>
        </w:rPr>
      </w:pPr>
      <w:r w:rsidRPr="00395123">
        <w:rPr>
          <w:b/>
          <w:bCs/>
          <w:sz w:val="22"/>
          <w:szCs w:val="22"/>
        </w:rPr>
        <w:t>11.0</w:t>
      </w:r>
      <w:r w:rsidR="00DB6D36">
        <w:rPr>
          <w:b/>
          <w:bCs/>
          <w:sz w:val="22"/>
          <w:szCs w:val="22"/>
        </w:rPr>
        <w:tab/>
      </w:r>
      <w:r w:rsidRPr="00395123">
        <w:rPr>
          <w:b/>
          <w:bCs/>
          <w:sz w:val="22"/>
          <w:szCs w:val="22"/>
        </w:rPr>
        <w:t>Complaints and Appeals</w:t>
      </w:r>
    </w:p>
    <w:p w14:paraId="5D34C973" w14:textId="4CB472C1" w:rsidR="00B213E3" w:rsidRPr="00B213E3" w:rsidRDefault="00B213E3" w:rsidP="00B213E3">
      <w:pPr>
        <w:pStyle w:val="Default"/>
        <w:spacing w:after="200" w:line="360" w:lineRule="auto"/>
        <w:ind w:left="-57"/>
        <w:rPr>
          <w:sz w:val="22"/>
          <w:szCs w:val="22"/>
        </w:rPr>
      </w:pPr>
      <w:r>
        <w:rPr>
          <w:sz w:val="22"/>
          <w:szCs w:val="22"/>
        </w:rPr>
        <w:t>The ICB</w:t>
      </w:r>
      <w:r w:rsidRPr="00B213E3">
        <w:rPr>
          <w:sz w:val="22"/>
          <w:szCs w:val="22"/>
        </w:rPr>
        <w:t xml:space="preserve"> recognises that there will be occasions when patients, service users or carers are dissatisfied with aspects of the care and services provided</w:t>
      </w:r>
      <w:r>
        <w:rPr>
          <w:sz w:val="22"/>
          <w:szCs w:val="22"/>
        </w:rPr>
        <w:t xml:space="preserve"> or commissioned</w:t>
      </w:r>
      <w:r w:rsidRPr="00B213E3">
        <w:rPr>
          <w:sz w:val="22"/>
          <w:szCs w:val="22"/>
        </w:rPr>
        <w:t>.</w:t>
      </w:r>
    </w:p>
    <w:p w14:paraId="4D2129C0" w14:textId="379D2020" w:rsidR="00B213E3" w:rsidRDefault="00B213E3" w:rsidP="00B213E3">
      <w:pPr>
        <w:pStyle w:val="Default"/>
        <w:spacing w:after="200" w:line="360" w:lineRule="auto"/>
        <w:ind w:left="-57"/>
        <w:rPr>
          <w:sz w:val="22"/>
          <w:szCs w:val="22"/>
        </w:rPr>
      </w:pPr>
      <w:r w:rsidRPr="00B213E3">
        <w:rPr>
          <w:sz w:val="22"/>
          <w:szCs w:val="22"/>
        </w:rPr>
        <w:t>It is important to understand that there is a distinction made between complaints and concerns as the use of the word complaint should not automatically mean that someone expressing a concern enters the complaints process</w:t>
      </w:r>
      <w:r>
        <w:rPr>
          <w:sz w:val="22"/>
          <w:szCs w:val="22"/>
        </w:rPr>
        <w:t>.</w:t>
      </w:r>
      <w:r w:rsidRPr="00B213E3">
        <w:rPr>
          <w:sz w:val="22"/>
          <w:szCs w:val="22"/>
        </w:rPr>
        <w:t xml:space="preserve"> </w:t>
      </w:r>
    </w:p>
    <w:p w14:paraId="16FB9AD3" w14:textId="77777777" w:rsidR="00B213E3" w:rsidRPr="00B213E3" w:rsidRDefault="00B213E3" w:rsidP="00B213E3">
      <w:pPr>
        <w:pStyle w:val="Default"/>
        <w:spacing w:after="200" w:line="360" w:lineRule="auto"/>
        <w:ind w:left="-57"/>
        <w:rPr>
          <w:sz w:val="22"/>
          <w:szCs w:val="22"/>
        </w:rPr>
      </w:pPr>
      <w:r w:rsidRPr="00B213E3">
        <w:rPr>
          <w:sz w:val="22"/>
          <w:szCs w:val="22"/>
        </w:rPr>
        <w:t xml:space="preserve">The </w:t>
      </w:r>
      <w:r>
        <w:rPr>
          <w:sz w:val="22"/>
          <w:szCs w:val="22"/>
        </w:rPr>
        <w:t>ICB</w:t>
      </w:r>
      <w:r w:rsidRPr="00B213E3">
        <w:rPr>
          <w:sz w:val="22"/>
          <w:szCs w:val="22"/>
        </w:rPr>
        <w:t xml:space="preserve"> is committed to dealing with any complaints that may arise as quickly and as effectively as possible as set out in the Local Authority Social Services and National Health Service Complaints (England) Regulations 2009.</w:t>
      </w:r>
    </w:p>
    <w:p w14:paraId="0D3756BE" w14:textId="77777777" w:rsidR="00B213E3" w:rsidRDefault="00B213E3" w:rsidP="00B213E3">
      <w:pPr>
        <w:pStyle w:val="Default"/>
        <w:spacing w:after="200" w:line="360" w:lineRule="auto"/>
        <w:ind w:left="-57"/>
        <w:rPr>
          <w:sz w:val="22"/>
          <w:szCs w:val="22"/>
        </w:rPr>
      </w:pPr>
      <w:r>
        <w:rPr>
          <w:sz w:val="22"/>
          <w:szCs w:val="22"/>
        </w:rPr>
        <w:t xml:space="preserve">All complaints and concerns received are managed in line with the ICB’s Complaints Concerns and Patient Feedback Policy which can be found at: </w:t>
      </w:r>
      <w:hyperlink r:id="rId11" w:history="1">
        <w:r w:rsidRPr="00DE6BE1">
          <w:rPr>
            <w:rStyle w:val="Hyperlink"/>
            <w:sz w:val="22"/>
            <w:szCs w:val="22"/>
          </w:rPr>
          <w:t>https://hertsandwestessex.icb.nhs.uk/downloads/file/146/complaints-concerns-and-patient-feedback-policy</w:t>
        </w:r>
      </w:hyperlink>
      <w:r>
        <w:rPr>
          <w:sz w:val="22"/>
          <w:szCs w:val="22"/>
        </w:rPr>
        <w:t xml:space="preserve"> </w:t>
      </w:r>
    </w:p>
    <w:p w14:paraId="6AA26C60" w14:textId="4DE23429" w:rsidR="00B213E3" w:rsidRPr="00B213E3" w:rsidRDefault="00B213E3" w:rsidP="00B213E3">
      <w:pPr>
        <w:pStyle w:val="Default"/>
        <w:spacing w:after="200" w:line="360" w:lineRule="auto"/>
        <w:ind w:left="-57"/>
        <w:rPr>
          <w:sz w:val="22"/>
          <w:szCs w:val="22"/>
        </w:rPr>
      </w:pPr>
      <w:r w:rsidRPr="00B213E3">
        <w:rPr>
          <w:sz w:val="22"/>
          <w:szCs w:val="22"/>
        </w:rPr>
        <w:lastRenderedPageBreak/>
        <w:t>Complaints can be valuable aids in developing and maintaining standards of care and that lessons learnt from complaints can be used positively to improve services</w:t>
      </w:r>
      <w:r>
        <w:rPr>
          <w:sz w:val="22"/>
          <w:szCs w:val="22"/>
        </w:rPr>
        <w:t>. The ICB Nursing and Quality Directorate will work to ensure learning from complaints, concerns and patient feedback is triangulated with patient safety learning to support system improvement.</w:t>
      </w:r>
    </w:p>
    <w:bookmarkEnd w:id="9"/>
    <w:p w14:paraId="349E46F8" w14:textId="77777777" w:rsidR="0036088A" w:rsidRDefault="0036088A">
      <w:pPr>
        <w:rPr>
          <w:rFonts w:ascii="Arial" w:eastAsiaTheme="majorEastAsia" w:hAnsi="Arial" w:cs="Arial"/>
          <w:b/>
          <w:bCs/>
          <w:sz w:val="24"/>
          <w:szCs w:val="24"/>
        </w:rPr>
      </w:pPr>
      <w:r>
        <w:rPr>
          <w:rFonts w:ascii="Arial" w:eastAsiaTheme="majorEastAsia" w:hAnsi="Arial" w:cs="Arial"/>
          <w:b/>
          <w:bCs/>
          <w:sz w:val="24"/>
          <w:szCs w:val="24"/>
        </w:rPr>
        <w:br w:type="page"/>
      </w:r>
    </w:p>
    <w:p w14:paraId="01065ACB" w14:textId="3F6584A3" w:rsidR="00B13D2F" w:rsidRPr="00A04FB0" w:rsidRDefault="00F459F6" w:rsidP="00F459F6">
      <w:pPr>
        <w:jc w:val="both"/>
        <w:rPr>
          <w:rFonts w:ascii="Arial" w:eastAsiaTheme="majorEastAsia" w:hAnsi="Arial" w:cs="Arial"/>
          <w:b/>
          <w:bCs/>
          <w:sz w:val="24"/>
          <w:szCs w:val="24"/>
        </w:rPr>
      </w:pPr>
      <w:r w:rsidRPr="00A04FB0">
        <w:rPr>
          <w:rFonts w:ascii="Arial" w:eastAsiaTheme="majorEastAsia" w:hAnsi="Arial" w:cs="Arial"/>
          <w:b/>
          <w:bCs/>
          <w:sz w:val="24"/>
          <w:szCs w:val="24"/>
        </w:rPr>
        <w:lastRenderedPageBreak/>
        <w:t>Appendix 1</w:t>
      </w:r>
      <w:r w:rsidR="00A04FB0" w:rsidRPr="00A04FB0">
        <w:rPr>
          <w:rFonts w:ascii="Arial" w:eastAsiaTheme="majorEastAsia" w:hAnsi="Arial" w:cs="Arial"/>
          <w:b/>
          <w:bCs/>
          <w:sz w:val="24"/>
          <w:szCs w:val="24"/>
        </w:rPr>
        <w:t xml:space="preserve">: </w:t>
      </w:r>
      <w:r w:rsidR="00B13D2F" w:rsidRPr="00A04FB0">
        <w:rPr>
          <w:rFonts w:ascii="Arial" w:hAnsi="Arial" w:cs="Arial"/>
          <w:b/>
          <w:bCs/>
          <w:sz w:val="24"/>
          <w:szCs w:val="24"/>
        </w:rPr>
        <w:t>Overview of organisational responsibilities</w:t>
      </w:r>
    </w:p>
    <w:p w14:paraId="7CB4BD1A" w14:textId="77777777" w:rsidR="007A7E0F" w:rsidRPr="007B391C" w:rsidRDefault="007A7E0F" w:rsidP="00F459F6">
      <w:pPr>
        <w:jc w:val="both"/>
        <w:rPr>
          <w:rFonts w:eastAsiaTheme="majorEastAsia"/>
          <w:b/>
          <w:bCs/>
          <w:color w:val="365F91" w:themeColor="accent1" w:themeShade="BF"/>
        </w:rPr>
      </w:pPr>
    </w:p>
    <w:p w14:paraId="35D1B59E" w14:textId="24870BDE" w:rsidR="00F459F6" w:rsidRPr="005058F3" w:rsidRDefault="007A7E0F" w:rsidP="00F459F6">
      <w:pPr>
        <w:jc w:val="both"/>
        <w:rPr>
          <w:b/>
        </w:rPr>
      </w:pPr>
      <w:r w:rsidRPr="007A7E0F">
        <w:rPr>
          <w:b/>
          <w:noProof/>
        </w:rPr>
        <w:drawing>
          <wp:inline distT="0" distB="0" distL="0" distR="0" wp14:anchorId="470942D8" wp14:editId="57A347AA">
            <wp:extent cx="5339080" cy="5874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9080" cy="5874385"/>
                    </a:xfrm>
                    <a:prstGeom prst="rect">
                      <a:avLst/>
                    </a:prstGeom>
                    <a:noFill/>
                    <a:ln>
                      <a:noFill/>
                    </a:ln>
                  </pic:spPr>
                </pic:pic>
              </a:graphicData>
            </a:graphic>
          </wp:inline>
        </w:drawing>
      </w:r>
    </w:p>
    <w:p w14:paraId="4AD8057B" w14:textId="77777777" w:rsidR="0036088A" w:rsidRDefault="0036088A">
      <w:pPr>
        <w:rPr>
          <w:rFonts w:ascii="Arial" w:eastAsiaTheme="majorEastAsia" w:hAnsi="Arial" w:cs="Arial"/>
          <w:b/>
          <w:bCs/>
          <w:sz w:val="24"/>
          <w:szCs w:val="24"/>
        </w:rPr>
      </w:pPr>
      <w:r>
        <w:rPr>
          <w:rFonts w:ascii="Arial" w:eastAsiaTheme="majorEastAsia" w:hAnsi="Arial" w:cs="Arial"/>
          <w:b/>
          <w:bCs/>
          <w:sz w:val="24"/>
          <w:szCs w:val="24"/>
        </w:rPr>
        <w:br w:type="page"/>
      </w:r>
    </w:p>
    <w:p w14:paraId="3F81F2AC" w14:textId="37156532" w:rsidR="006A5A46" w:rsidRPr="00A04FB0" w:rsidRDefault="006A5A46" w:rsidP="006A5A46">
      <w:pPr>
        <w:jc w:val="both"/>
        <w:rPr>
          <w:rFonts w:ascii="Arial" w:eastAsiaTheme="majorEastAsia" w:hAnsi="Arial" w:cs="Arial"/>
          <w:b/>
          <w:bCs/>
          <w:sz w:val="24"/>
          <w:szCs w:val="24"/>
        </w:rPr>
      </w:pPr>
      <w:r w:rsidRPr="00A04FB0">
        <w:rPr>
          <w:rFonts w:ascii="Arial" w:eastAsiaTheme="majorEastAsia" w:hAnsi="Arial" w:cs="Arial"/>
          <w:b/>
          <w:bCs/>
          <w:sz w:val="24"/>
          <w:szCs w:val="24"/>
        </w:rPr>
        <w:lastRenderedPageBreak/>
        <w:t>Appendix 2</w:t>
      </w:r>
      <w:r w:rsidR="00A04FB0" w:rsidRPr="00A04FB0">
        <w:rPr>
          <w:rFonts w:ascii="Arial" w:eastAsiaTheme="majorEastAsia" w:hAnsi="Arial" w:cs="Arial"/>
          <w:b/>
          <w:bCs/>
          <w:sz w:val="24"/>
          <w:szCs w:val="24"/>
        </w:rPr>
        <w:t xml:space="preserve">: </w:t>
      </w:r>
      <w:r w:rsidR="00B239A4" w:rsidRPr="00A04FB0">
        <w:rPr>
          <w:rFonts w:ascii="Arial" w:hAnsi="Arial" w:cs="Arial"/>
          <w:b/>
          <w:iCs/>
          <w:sz w:val="24"/>
          <w:szCs w:val="24"/>
        </w:rPr>
        <w:t xml:space="preserve">PSIRF </w:t>
      </w:r>
      <w:r w:rsidR="00C86EAF" w:rsidRPr="00A04FB0">
        <w:rPr>
          <w:rFonts w:ascii="Arial" w:hAnsi="Arial" w:cs="Arial"/>
          <w:b/>
          <w:iCs/>
          <w:sz w:val="24"/>
          <w:szCs w:val="24"/>
        </w:rPr>
        <w:t>Competencies</w:t>
      </w:r>
    </w:p>
    <w:p w14:paraId="220CEA90" w14:textId="29101AB0" w:rsidR="007A7E0F" w:rsidRDefault="007A7E0F" w:rsidP="0036088A">
      <w:pPr>
        <w:spacing w:after="120" w:line="360" w:lineRule="auto"/>
        <w:ind w:left="-57"/>
        <w:rPr>
          <w:rFonts w:ascii="Arial" w:eastAsiaTheme="minorHAnsi" w:hAnsi="Arial" w:cs="Arial"/>
          <w:b/>
          <w:bCs/>
          <w:color w:val="000000" w:themeColor="text1"/>
          <w:sz w:val="24"/>
          <w:szCs w:val="24"/>
          <w:lang w:eastAsia="en-US"/>
        </w:rPr>
      </w:pPr>
      <w:r w:rsidRPr="00E245B0">
        <w:rPr>
          <w:rFonts w:ascii="Arial" w:eastAsiaTheme="minorHAnsi" w:hAnsi="Arial" w:cs="Arial"/>
          <w:b/>
          <w:bCs/>
          <w:color w:val="000000" w:themeColor="text1"/>
          <w:sz w:val="24"/>
          <w:szCs w:val="24"/>
          <w:lang w:eastAsia="en-US"/>
        </w:rPr>
        <w:t xml:space="preserve">Learning response leads </w:t>
      </w:r>
    </w:p>
    <w:p w14:paraId="0F5C21C2" w14:textId="77777777" w:rsidR="00C86EAF" w:rsidRPr="00547B57" w:rsidRDefault="00C86EAF" w:rsidP="0036088A">
      <w:pPr>
        <w:spacing w:after="120" w:line="360" w:lineRule="auto"/>
        <w:ind w:left="-57"/>
        <w:rPr>
          <w:rFonts w:ascii="Arial" w:hAnsi="Arial" w:cs="Arial"/>
        </w:rPr>
      </w:pPr>
      <w:r w:rsidRPr="00547B57">
        <w:rPr>
          <w:rFonts w:ascii="Arial" w:hAnsi="Arial" w:cs="Arial"/>
        </w:rPr>
        <w:t xml:space="preserve">Apply human factors and systems thinking principles to gather qualitative and quantitative information from a wide range of sources. </w:t>
      </w:r>
    </w:p>
    <w:p w14:paraId="5F6E7AE3" w14:textId="505C544C" w:rsidR="00C86EAF" w:rsidRPr="00547B57" w:rsidRDefault="00C86EAF" w:rsidP="0036088A">
      <w:pPr>
        <w:spacing w:after="120" w:line="360" w:lineRule="auto"/>
        <w:ind w:left="-57"/>
        <w:rPr>
          <w:rFonts w:ascii="Arial" w:hAnsi="Arial" w:cs="Arial"/>
        </w:rPr>
      </w:pPr>
      <w:r w:rsidRPr="00547B57">
        <w:rPr>
          <w:rFonts w:ascii="Arial" w:hAnsi="Arial" w:cs="Arial"/>
        </w:rPr>
        <w:t xml:space="preserve">Summarise and present complex information in a clear and logical manner and in report form. </w:t>
      </w:r>
    </w:p>
    <w:p w14:paraId="78861C98" w14:textId="38B48C64" w:rsidR="00C86EAF" w:rsidRPr="00547B57" w:rsidRDefault="00C86EAF" w:rsidP="0036088A">
      <w:pPr>
        <w:spacing w:after="120" w:line="360" w:lineRule="auto"/>
        <w:ind w:left="-57"/>
        <w:rPr>
          <w:rFonts w:ascii="Arial" w:hAnsi="Arial" w:cs="Arial"/>
        </w:rPr>
      </w:pPr>
      <w:r w:rsidRPr="00547B57">
        <w:rPr>
          <w:rFonts w:ascii="Arial" w:hAnsi="Arial" w:cs="Arial"/>
        </w:rPr>
        <w:t xml:space="preserve">Manage conflicting information from different internal and external sources. </w:t>
      </w:r>
    </w:p>
    <w:p w14:paraId="2D66F4B4" w14:textId="5FC9BFF7" w:rsidR="00C86EAF" w:rsidRPr="00547B57" w:rsidRDefault="00C86EAF" w:rsidP="0036088A">
      <w:pPr>
        <w:spacing w:after="120" w:line="360" w:lineRule="auto"/>
        <w:ind w:left="-57"/>
        <w:rPr>
          <w:rFonts w:ascii="Arial" w:eastAsiaTheme="minorHAnsi" w:hAnsi="Arial" w:cs="Arial"/>
          <w:b/>
          <w:bCs/>
          <w:color w:val="000000" w:themeColor="text1"/>
          <w:sz w:val="24"/>
          <w:szCs w:val="24"/>
          <w:lang w:eastAsia="en-US"/>
        </w:rPr>
      </w:pPr>
      <w:r w:rsidRPr="00547B57">
        <w:rPr>
          <w:rFonts w:ascii="Arial" w:hAnsi="Arial" w:cs="Arial"/>
        </w:rPr>
        <w:t>Communicate highly complex matters and in difficult situations.</w:t>
      </w:r>
    </w:p>
    <w:p w14:paraId="34398B57" w14:textId="2FB99B91" w:rsidR="007A7E0F" w:rsidRPr="00547B57" w:rsidRDefault="007A7E0F" w:rsidP="0036088A">
      <w:pPr>
        <w:spacing w:after="120" w:line="360" w:lineRule="auto"/>
        <w:ind w:left="-57"/>
        <w:rPr>
          <w:rFonts w:ascii="Arial" w:eastAsiaTheme="minorHAnsi" w:hAnsi="Arial" w:cs="Arial"/>
          <w:b/>
          <w:bCs/>
          <w:color w:val="000000" w:themeColor="text1"/>
          <w:lang w:eastAsia="en-US"/>
        </w:rPr>
      </w:pPr>
      <w:r w:rsidRPr="00547B57">
        <w:rPr>
          <w:rFonts w:ascii="Arial" w:eastAsiaTheme="minorHAnsi" w:hAnsi="Arial" w:cs="Arial"/>
          <w:b/>
          <w:bCs/>
          <w:color w:val="000000" w:themeColor="text1"/>
          <w:lang w:eastAsia="en-US"/>
        </w:rPr>
        <w:t>Engagement and involvement competencies</w:t>
      </w:r>
    </w:p>
    <w:p w14:paraId="521028E5" w14:textId="77777777" w:rsidR="00547B57" w:rsidRPr="00547B57" w:rsidRDefault="00547B57" w:rsidP="0036088A">
      <w:pPr>
        <w:spacing w:after="120" w:line="360" w:lineRule="auto"/>
        <w:ind w:left="-57"/>
        <w:rPr>
          <w:rFonts w:ascii="Arial" w:hAnsi="Arial" w:cs="Arial"/>
        </w:rPr>
      </w:pPr>
      <w:r w:rsidRPr="00547B57">
        <w:rPr>
          <w:rFonts w:ascii="Arial" w:hAnsi="Arial" w:cs="Arial"/>
        </w:rPr>
        <w:t xml:space="preserve">Communicate and engage with patients, families, staff, and external agencies in a positive and compassionate way. </w:t>
      </w:r>
    </w:p>
    <w:p w14:paraId="30934287" w14:textId="4BCBB0D5" w:rsidR="00547B57" w:rsidRPr="00547B57" w:rsidRDefault="00547B57" w:rsidP="0036088A">
      <w:pPr>
        <w:spacing w:after="120" w:line="360" w:lineRule="auto"/>
        <w:ind w:left="-57"/>
        <w:rPr>
          <w:rFonts w:ascii="Arial" w:hAnsi="Arial" w:cs="Arial"/>
        </w:rPr>
      </w:pPr>
      <w:r w:rsidRPr="00547B57">
        <w:rPr>
          <w:rFonts w:ascii="Arial" w:hAnsi="Arial" w:cs="Arial"/>
        </w:rPr>
        <w:t xml:space="preserve">Listen and hear the distress of others in a measured and supportive way. </w:t>
      </w:r>
    </w:p>
    <w:p w14:paraId="7575E8F2" w14:textId="5B936474" w:rsidR="00547B57" w:rsidRPr="00547B57" w:rsidRDefault="00547B57" w:rsidP="0036088A">
      <w:pPr>
        <w:spacing w:after="120" w:line="360" w:lineRule="auto"/>
        <w:ind w:left="-57"/>
        <w:rPr>
          <w:rFonts w:ascii="Arial" w:hAnsi="Arial" w:cs="Arial"/>
        </w:rPr>
      </w:pPr>
      <w:r w:rsidRPr="00547B57">
        <w:rPr>
          <w:rFonts w:ascii="Arial" w:hAnsi="Arial" w:cs="Arial"/>
        </w:rPr>
        <w:t>Maintain clear records of information gathered and contact with those affected.</w:t>
      </w:r>
    </w:p>
    <w:p w14:paraId="2B1ADEF0" w14:textId="3D1122A4" w:rsidR="00547B57" w:rsidRPr="00547B57" w:rsidRDefault="00547B57" w:rsidP="0036088A">
      <w:pPr>
        <w:spacing w:after="120" w:line="360" w:lineRule="auto"/>
        <w:ind w:left="-57"/>
        <w:rPr>
          <w:rFonts w:ascii="Arial" w:hAnsi="Arial" w:cs="Arial"/>
        </w:rPr>
      </w:pPr>
      <w:r w:rsidRPr="00547B57">
        <w:rPr>
          <w:rFonts w:ascii="Arial" w:hAnsi="Arial" w:cs="Arial"/>
        </w:rPr>
        <w:t xml:space="preserve">Identify key risks and issues that may affect the involvement of patients, families, and staff. </w:t>
      </w:r>
    </w:p>
    <w:p w14:paraId="7E91D5F3" w14:textId="732368E7" w:rsidR="00547B57" w:rsidRPr="00547B57" w:rsidRDefault="00547B57" w:rsidP="0036088A">
      <w:pPr>
        <w:spacing w:after="120" w:line="360" w:lineRule="auto"/>
        <w:ind w:left="-57"/>
        <w:rPr>
          <w:rFonts w:ascii="Arial" w:eastAsiaTheme="minorHAnsi" w:hAnsi="Arial" w:cs="Arial"/>
          <w:b/>
          <w:bCs/>
          <w:color w:val="000000" w:themeColor="text1"/>
          <w:lang w:eastAsia="en-US"/>
        </w:rPr>
      </w:pPr>
      <w:r w:rsidRPr="00547B57">
        <w:rPr>
          <w:rFonts w:ascii="Arial" w:hAnsi="Arial" w:cs="Arial"/>
        </w:rPr>
        <w:t>Recognise when those affected by patient safety incidents require onward signposting or referral to support services.</w:t>
      </w:r>
    </w:p>
    <w:p w14:paraId="702361D1" w14:textId="77777777" w:rsidR="007A7E0F" w:rsidRPr="00547B57" w:rsidRDefault="007A7E0F" w:rsidP="0036088A">
      <w:pPr>
        <w:spacing w:after="120" w:line="360" w:lineRule="auto"/>
        <w:ind w:left="-57"/>
        <w:rPr>
          <w:rFonts w:ascii="Arial" w:eastAsiaTheme="minorHAnsi" w:hAnsi="Arial" w:cs="Arial"/>
          <w:b/>
          <w:bCs/>
          <w:color w:val="000000" w:themeColor="text1"/>
          <w:lang w:eastAsia="en-US"/>
        </w:rPr>
      </w:pPr>
      <w:r w:rsidRPr="00547B57">
        <w:rPr>
          <w:rFonts w:ascii="Arial" w:eastAsiaTheme="minorHAnsi" w:hAnsi="Arial" w:cs="Arial"/>
          <w:b/>
          <w:bCs/>
          <w:color w:val="000000" w:themeColor="text1"/>
          <w:lang w:eastAsia="en-US"/>
        </w:rPr>
        <w:t>Oversight roles training and competencies</w:t>
      </w:r>
    </w:p>
    <w:p w14:paraId="09420A93" w14:textId="30243C79" w:rsidR="00547B57" w:rsidRPr="00547B57" w:rsidRDefault="00547B57" w:rsidP="0036088A">
      <w:pPr>
        <w:spacing w:after="120" w:line="360" w:lineRule="auto"/>
        <w:ind w:left="-57"/>
        <w:rPr>
          <w:rFonts w:ascii="Arial" w:hAnsi="Arial" w:cs="Arial"/>
        </w:rPr>
      </w:pPr>
      <w:r w:rsidRPr="00547B57">
        <w:rPr>
          <w:rFonts w:ascii="Arial" w:hAnsi="Arial" w:cs="Arial"/>
        </w:rPr>
        <w:t xml:space="preserve">Be inquisitive with sensitivity (that is, know how and when to ask the right questions to gain insight about patient safety improvement). </w:t>
      </w:r>
    </w:p>
    <w:p w14:paraId="1C953F0A" w14:textId="1693C43C" w:rsidR="00547B57" w:rsidRPr="00547B57" w:rsidRDefault="00547B57" w:rsidP="0036088A">
      <w:pPr>
        <w:spacing w:after="120" w:line="360" w:lineRule="auto"/>
        <w:ind w:left="-57"/>
        <w:rPr>
          <w:rFonts w:ascii="Arial" w:hAnsi="Arial" w:cs="Arial"/>
        </w:rPr>
      </w:pPr>
      <w:r w:rsidRPr="00547B57">
        <w:rPr>
          <w:rFonts w:ascii="Arial" w:hAnsi="Arial" w:cs="Arial"/>
        </w:rPr>
        <w:t xml:space="preserve">Apply human factors and systems thinking principles. </w:t>
      </w:r>
    </w:p>
    <w:p w14:paraId="2ED00713" w14:textId="6EABA33F" w:rsidR="00547B57" w:rsidRPr="00547B57" w:rsidRDefault="00547B57" w:rsidP="0036088A">
      <w:pPr>
        <w:spacing w:after="120" w:line="360" w:lineRule="auto"/>
        <w:ind w:left="-57"/>
        <w:rPr>
          <w:rFonts w:ascii="Arial" w:hAnsi="Arial" w:cs="Arial"/>
        </w:rPr>
      </w:pPr>
      <w:r w:rsidRPr="00547B57">
        <w:rPr>
          <w:rFonts w:ascii="Arial" w:hAnsi="Arial" w:cs="Arial"/>
        </w:rPr>
        <w:t>Obtain (</w:t>
      </w:r>
      <w:proofErr w:type="gramStart"/>
      <w:r w:rsidR="0097014E" w:rsidRPr="00547B57">
        <w:rPr>
          <w:rFonts w:ascii="Arial" w:hAnsi="Arial" w:cs="Arial"/>
        </w:rPr>
        <w:t>e.g.</w:t>
      </w:r>
      <w:proofErr w:type="gramEnd"/>
      <w:r w:rsidRPr="00547B57">
        <w:rPr>
          <w:rFonts w:ascii="Arial" w:hAnsi="Arial" w:cs="Arial"/>
        </w:rPr>
        <w:t xml:space="preserve"> through conversations) and assess both qualitative and quantitative information from a wide range of sources. </w:t>
      </w:r>
    </w:p>
    <w:p w14:paraId="525C641E" w14:textId="3C2A07B3" w:rsidR="00547B57" w:rsidRPr="00547B57" w:rsidRDefault="00547B57" w:rsidP="0036088A">
      <w:pPr>
        <w:spacing w:after="120" w:line="360" w:lineRule="auto"/>
        <w:ind w:left="-57"/>
        <w:rPr>
          <w:rFonts w:ascii="Arial" w:hAnsi="Arial" w:cs="Arial"/>
        </w:rPr>
      </w:pPr>
      <w:r w:rsidRPr="00547B57">
        <w:rPr>
          <w:rFonts w:ascii="Arial" w:hAnsi="Arial" w:cs="Arial"/>
        </w:rPr>
        <w:t xml:space="preserve">Constructively challenge the strength and feasibility of safety actions to improve underlying system issues. </w:t>
      </w:r>
    </w:p>
    <w:p w14:paraId="0387F66F" w14:textId="084C07EC" w:rsidR="00547B57" w:rsidRPr="00547B57" w:rsidRDefault="00547B57" w:rsidP="0036088A">
      <w:pPr>
        <w:spacing w:after="120" w:line="360" w:lineRule="auto"/>
        <w:ind w:left="-57"/>
        <w:rPr>
          <w:rFonts w:ascii="Arial" w:hAnsi="Arial" w:cs="Arial"/>
        </w:rPr>
      </w:pPr>
      <w:r w:rsidRPr="00547B57">
        <w:rPr>
          <w:rFonts w:ascii="Arial" w:hAnsi="Arial" w:cs="Arial"/>
        </w:rPr>
        <w:t>Recognise when safety actions following a patient safety incident response do not take a system-based approach (</w:t>
      </w:r>
      <w:proofErr w:type="spellStart"/>
      <w:proofErr w:type="gramStart"/>
      <w:r w:rsidRPr="00547B57">
        <w:rPr>
          <w:rFonts w:ascii="Arial" w:hAnsi="Arial" w:cs="Arial"/>
        </w:rPr>
        <w:t>eg</w:t>
      </w:r>
      <w:proofErr w:type="spellEnd"/>
      <w:proofErr w:type="gramEnd"/>
      <w:r w:rsidRPr="00547B57">
        <w:rPr>
          <w:rFonts w:ascii="Arial" w:hAnsi="Arial" w:cs="Arial"/>
        </w:rPr>
        <w:t xml:space="preserve"> inappropriate focus on revising policies without understanding ‘work as done’ or self-reflection instead of reviewing wider system influences). </w:t>
      </w:r>
    </w:p>
    <w:p w14:paraId="417EEBEC" w14:textId="113D55CD" w:rsidR="007A7E0F" w:rsidRPr="00547B57" w:rsidRDefault="00547B57" w:rsidP="0036088A">
      <w:pPr>
        <w:spacing w:after="120" w:line="360" w:lineRule="auto"/>
        <w:ind w:left="-57"/>
        <w:rPr>
          <w:rFonts w:ascii="Arial" w:eastAsiaTheme="minorHAnsi" w:hAnsi="Arial" w:cs="Arial"/>
          <w:color w:val="000000" w:themeColor="text1"/>
          <w:lang w:eastAsia="en-US"/>
        </w:rPr>
      </w:pPr>
      <w:r w:rsidRPr="00547B57">
        <w:rPr>
          <w:rFonts w:ascii="Arial" w:hAnsi="Arial" w:cs="Arial"/>
        </w:rPr>
        <w:t>Summarise and present complex information in a clear and logical manner and in report form.</w:t>
      </w:r>
    </w:p>
    <w:p w14:paraId="68C9E336" w14:textId="43B3077E" w:rsidR="0097014E" w:rsidRDefault="00E65511" w:rsidP="0097014E">
      <w:pPr>
        <w:spacing w:after="200" w:line="360" w:lineRule="auto"/>
        <w:ind w:left="-57"/>
        <w:rPr>
          <w:rFonts w:ascii="Arial" w:eastAsiaTheme="majorEastAsia" w:hAnsi="Arial" w:cs="Arial"/>
          <w:b/>
          <w:bCs/>
          <w:sz w:val="24"/>
          <w:szCs w:val="24"/>
        </w:rPr>
      </w:pPr>
      <w:bookmarkStart w:id="11" w:name="_Toc398730574"/>
      <w:r w:rsidRPr="006A6BB2">
        <w:rPr>
          <w:rFonts w:ascii="Arial" w:eastAsiaTheme="majorEastAsia" w:hAnsi="Arial" w:cs="Arial"/>
          <w:b/>
          <w:bCs/>
          <w:sz w:val="24"/>
          <w:szCs w:val="24"/>
        </w:rPr>
        <w:lastRenderedPageBreak/>
        <w:t>Appendix 3</w:t>
      </w:r>
      <w:r w:rsidR="00A04FB0">
        <w:rPr>
          <w:rFonts w:ascii="Arial" w:eastAsiaTheme="majorEastAsia" w:hAnsi="Arial" w:cs="Arial"/>
          <w:b/>
          <w:bCs/>
          <w:sz w:val="24"/>
          <w:szCs w:val="24"/>
        </w:rPr>
        <w:t xml:space="preserve">: </w:t>
      </w:r>
      <w:r w:rsidR="00595D7C">
        <w:rPr>
          <w:rFonts w:ascii="Arial" w:eastAsiaTheme="majorEastAsia" w:hAnsi="Arial" w:cs="Arial"/>
          <w:b/>
          <w:bCs/>
          <w:sz w:val="24"/>
          <w:szCs w:val="24"/>
        </w:rPr>
        <w:t xml:space="preserve">ICB Provider Sign Off Process </w:t>
      </w:r>
    </w:p>
    <w:p w14:paraId="2999D943" w14:textId="77777777" w:rsidR="0097014E" w:rsidRDefault="002C3862" w:rsidP="0097014E">
      <w:pPr>
        <w:spacing w:after="200" w:line="360" w:lineRule="auto"/>
        <w:ind w:left="-57"/>
        <w:rPr>
          <w:rFonts w:ascii="Arial" w:eastAsiaTheme="majorEastAsia" w:hAnsi="Arial" w:cs="Arial"/>
          <w:b/>
          <w:bCs/>
          <w:sz w:val="24"/>
          <w:szCs w:val="24"/>
        </w:rPr>
      </w:pPr>
      <w:r w:rsidRPr="007029DD">
        <w:rPr>
          <w:rFonts w:ascii="Arial" w:hAnsi="Arial" w:cs="Arial"/>
        </w:rPr>
        <w:t xml:space="preserve">The ICB process for managing the sign off of provider Patient Safety Incident Response Plan (PSIRP) and Policy should be followed. The review group should assess if the policy and plan meet the required standards. Ultimately the </w:t>
      </w:r>
      <w:r w:rsidRPr="007029DD">
        <w:rPr>
          <w:rFonts w:ascii="Arial" w:hAnsi="Arial" w:cs="Arial"/>
          <w:b/>
          <w:bCs/>
        </w:rPr>
        <w:t>policy</w:t>
      </w:r>
      <w:r w:rsidRPr="007029DD">
        <w:rPr>
          <w:rFonts w:ascii="Arial" w:hAnsi="Arial" w:cs="Arial"/>
        </w:rPr>
        <w:t xml:space="preserve"> should describe the provider’s approach to responding to patient safety incidents for the purpose of learning and improvements. The </w:t>
      </w:r>
      <w:r w:rsidRPr="007029DD">
        <w:rPr>
          <w:rFonts w:ascii="Arial" w:hAnsi="Arial" w:cs="Arial"/>
          <w:b/>
          <w:bCs/>
        </w:rPr>
        <w:t>plan</w:t>
      </w:r>
      <w:r w:rsidRPr="007029DD">
        <w:rPr>
          <w:rFonts w:ascii="Arial" w:hAnsi="Arial" w:cs="Arial"/>
        </w:rPr>
        <w:t xml:space="preserve"> should set out the organisations patient safety profile and detail the methods it will use to respond in a way to maximise learning and improvement. The “criteria” below are intended to guide thinking and form an understanding if the requirements have been met.</w:t>
      </w:r>
    </w:p>
    <w:p w14:paraId="08386818" w14:textId="05DEC659" w:rsidR="005529D8" w:rsidRDefault="00A04FB0" w:rsidP="0097014E">
      <w:pPr>
        <w:spacing w:after="200" w:line="360" w:lineRule="auto"/>
        <w:ind w:left="-57"/>
        <w:rPr>
          <w:rFonts w:ascii="Arial" w:hAnsi="Arial" w:cs="Arial"/>
        </w:rPr>
      </w:pPr>
      <w:r>
        <w:rPr>
          <w:rFonts w:ascii="Arial" w:hAnsi="Arial" w:cs="Arial"/>
        </w:rPr>
        <w:t>O</w:t>
      </w:r>
      <w:r w:rsidR="002C3862" w:rsidRPr="007029DD">
        <w:rPr>
          <w:rFonts w:ascii="Arial" w:hAnsi="Arial" w:cs="Arial"/>
        </w:rPr>
        <w:t xml:space="preserve">nce the policy and plan are supported, they can be submitted to the ICB for approval. </w:t>
      </w:r>
      <w:r w:rsidR="005529D8">
        <w:rPr>
          <w:rFonts w:ascii="Arial" w:hAnsi="Arial" w:cs="Arial"/>
        </w:rPr>
        <w:t>The below checklist will be used to review and approve the plan and policy.</w:t>
      </w:r>
    </w:p>
    <w:p w14:paraId="49112F4C" w14:textId="784B9FA5" w:rsidR="002C3862" w:rsidRPr="0097014E" w:rsidRDefault="002C3862" w:rsidP="0097014E">
      <w:pPr>
        <w:spacing w:after="200" w:line="360" w:lineRule="auto"/>
        <w:ind w:left="-57"/>
        <w:rPr>
          <w:rFonts w:ascii="Arial" w:eastAsiaTheme="majorEastAsia" w:hAnsi="Arial" w:cs="Arial"/>
          <w:b/>
          <w:bCs/>
          <w:sz w:val="24"/>
          <w:szCs w:val="24"/>
        </w:rPr>
      </w:pPr>
      <w:r w:rsidRPr="007029DD">
        <w:rPr>
          <w:rFonts w:ascii="Arial" w:hAnsi="Arial" w:cs="Arial"/>
        </w:rPr>
        <w:t>A transition plan will be agreed between the ICB and the provider relating to switch over from the S</w:t>
      </w:r>
      <w:r w:rsidR="00A04FB0">
        <w:rPr>
          <w:rFonts w:ascii="Arial" w:hAnsi="Arial" w:cs="Arial"/>
        </w:rPr>
        <w:t xml:space="preserve">erious </w:t>
      </w:r>
      <w:r w:rsidRPr="007029DD">
        <w:rPr>
          <w:rFonts w:ascii="Arial" w:hAnsi="Arial" w:cs="Arial"/>
        </w:rPr>
        <w:t>I</w:t>
      </w:r>
      <w:r w:rsidR="00A04FB0">
        <w:rPr>
          <w:rFonts w:ascii="Arial" w:hAnsi="Arial" w:cs="Arial"/>
        </w:rPr>
        <w:t>ncident</w:t>
      </w:r>
      <w:r w:rsidRPr="007029DD">
        <w:rPr>
          <w:rFonts w:ascii="Arial" w:hAnsi="Arial" w:cs="Arial"/>
        </w:rPr>
        <w:t xml:space="preserve"> Framework</w:t>
      </w:r>
      <w:r w:rsidR="00A04FB0">
        <w:rPr>
          <w:rFonts w:ascii="Arial" w:hAnsi="Arial" w:cs="Arial"/>
        </w:rPr>
        <w:t xml:space="preserve"> (2015)</w:t>
      </w:r>
      <w:r w:rsidRPr="007029DD">
        <w:rPr>
          <w:rFonts w:ascii="Arial" w:hAnsi="Arial" w:cs="Arial"/>
        </w:rPr>
        <w:t xml:space="preserve"> to PSIRF, as well as agreeing the management of active/current Serious Incidents. The transition plan must address:</w:t>
      </w:r>
    </w:p>
    <w:p w14:paraId="52804CAE" w14:textId="3D22DBAC" w:rsidR="00E245B0" w:rsidRDefault="002C3862" w:rsidP="00E245B0">
      <w:pPr>
        <w:pStyle w:val="ListParagraph"/>
        <w:numPr>
          <w:ilvl w:val="0"/>
          <w:numId w:val="33"/>
        </w:numPr>
        <w:spacing w:after="200" w:line="360" w:lineRule="auto"/>
        <w:rPr>
          <w:rFonts w:ascii="Arial" w:hAnsi="Arial" w:cs="Arial"/>
        </w:rPr>
      </w:pPr>
      <w:r w:rsidRPr="007029DD">
        <w:rPr>
          <w:rFonts w:ascii="Arial" w:hAnsi="Arial" w:cs="Arial"/>
        </w:rPr>
        <w:t>a cut-off date for accepting incidents for investigation under the S</w:t>
      </w:r>
      <w:r w:rsidR="00A04FB0">
        <w:rPr>
          <w:rFonts w:ascii="Arial" w:hAnsi="Arial" w:cs="Arial"/>
        </w:rPr>
        <w:t xml:space="preserve">erious </w:t>
      </w:r>
      <w:r w:rsidRPr="007029DD">
        <w:rPr>
          <w:rFonts w:ascii="Arial" w:hAnsi="Arial" w:cs="Arial"/>
        </w:rPr>
        <w:t>I</w:t>
      </w:r>
      <w:r w:rsidR="00A04FB0">
        <w:rPr>
          <w:rFonts w:ascii="Arial" w:hAnsi="Arial" w:cs="Arial"/>
        </w:rPr>
        <w:t>ncident Framework (2015)</w:t>
      </w:r>
    </w:p>
    <w:p w14:paraId="650094D9" w14:textId="16C1AE08" w:rsidR="00E245B0" w:rsidRPr="00A04FB0" w:rsidRDefault="002C3862" w:rsidP="00A04FB0">
      <w:pPr>
        <w:pStyle w:val="ListParagraph"/>
        <w:numPr>
          <w:ilvl w:val="0"/>
          <w:numId w:val="33"/>
        </w:numPr>
        <w:rPr>
          <w:rFonts w:ascii="Arial" w:hAnsi="Arial" w:cs="Arial"/>
        </w:rPr>
      </w:pPr>
      <w:r w:rsidRPr="00A04FB0">
        <w:rPr>
          <w:rFonts w:ascii="Arial" w:hAnsi="Arial" w:cs="Arial"/>
        </w:rPr>
        <w:t>a date for completing investigations under the</w:t>
      </w:r>
      <w:r w:rsidR="00A04FB0" w:rsidRPr="00A04FB0">
        <w:t xml:space="preserve"> </w:t>
      </w:r>
      <w:r w:rsidR="00A04FB0" w:rsidRPr="00A04FB0">
        <w:rPr>
          <w:rFonts w:ascii="Arial" w:hAnsi="Arial" w:cs="Arial"/>
        </w:rPr>
        <w:t>Serious Incident Framework (2015)</w:t>
      </w:r>
      <w:r w:rsidR="00A04FB0">
        <w:rPr>
          <w:rFonts w:ascii="Arial" w:hAnsi="Arial" w:cs="Arial"/>
        </w:rPr>
        <w:t xml:space="preserve"> </w:t>
      </w:r>
      <w:r w:rsidRPr="00A04FB0">
        <w:rPr>
          <w:rFonts w:ascii="Arial" w:hAnsi="Arial" w:cs="Arial"/>
        </w:rPr>
        <w:t xml:space="preserve">or agreement on an overlap </w:t>
      </w:r>
      <w:proofErr w:type="gramStart"/>
      <w:r w:rsidRPr="00A04FB0">
        <w:rPr>
          <w:rFonts w:ascii="Arial" w:hAnsi="Arial" w:cs="Arial"/>
        </w:rPr>
        <w:t>phase</w:t>
      </w:r>
      <w:proofErr w:type="gramEnd"/>
    </w:p>
    <w:p w14:paraId="0C451AA2" w14:textId="50F88385" w:rsidR="002C3862" w:rsidRDefault="002C3862" w:rsidP="00E245B0">
      <w:pPr>
        <w:pStyle w:val="ListParagraph"/>
        <w:numPr>
          <w:ilvl w:val="0"/>
          <w:numId w:val="33"/>
        </w:numPr>
        <w:spacing w:after="200" w:line="360" w:lineRule="auto"/>
        <w:rPr>
          <w:rFonts w:ascii="Arial" w:hAnsi="Arial" w:cs="Arial"/>
        </w:rPr>
      </w:pPr>
      <w:r w:rsidRPr="00E245B0">
        <w:rPr>
          <w:rFonts w:ascii="Arial" w:hAnsi="Arial" w:cs="Arial"/>
        </w:rPr>
        <w:t>ensuring that all relevant staff know the transition date/phase and what they are required to do/how this affects them (</w:t>
      </w:r>
      <w:r w:rsidR="006A6BB2" w:rsidRPr="00E245B0">
        <w:rPr>
          <w:rFonts w:ascii="Arial" w:hAnsi="Arial" w:cs="Arial"/>
        </w:rPr>
        <w:t>e.g.,</w:t>
      </w:r>
      <w:r w:rsidRPr="00E245B0">
        <w:rPr>
          <w:rFonts w:ascii="Arial" w:hAnsi="Arial" w:cs="Arial"/>
        </w:rPr>
        <w:t xml:space="preserve"> changing how to report on </w:t>
      </w:r>
      <w:proofErr w:type="spellStart"/>
      <w:r w:rsidRPr="00E245B0">
        <w:rPr>
          <w:rFonts w:ascii="Arial" w:hAnsi="Arial" w:cs="Arial"/>
        </w:rPr>
        <w:t>StEIS</w:t>
      </w:r>
      <w:proofErr w:type="spellEnd"/>
    </w:p>
    <w:p w14:paraId="68DA7435" w14:textId="1F0ED1B1" w:rsidR="00A04FB0" w:rsidRDefault="00A04FB0" w:rsidP="00A04FB0">
      <w:pPr>
        <w:spacing w:after="200" w:line="360" w:lineRule="auto"/>
        <w:rPr>
          <w:rFonts w:ascii="Arial" w:hAnsi="Arial" w:cs="Arial"/>
        </w:rPr>
      </w:pPr>
      <w:r>
        <w:rPr>
          <w:rFonts w:ascii="Arial" w:hAnsi="Arial" w:cs="Arial"/>
        </w:rPr>
        <w:t>The full SOP for the approval process can be found below;</w:t>
      </w:r>
    </w:p>
    <w:bookmarkStart w:id="12" w:name="_MON_1754385858"/>
    <w:bookmarkEnd w:id="12"/>
    <w:p w14:paraId="168F3BFC" w14:textId="4C9BC249" w:rsidR="00A04FB0" w:rsidRPr="00A04FB0" w:rsidRDefault="005529D8" w:rsidP="00A04FB0">
      <w:pPr>
        <w:spacing w:after="200" w:line="360" w:lineRule="auto"/>
        <w:rPr>
          <w:rFonts w:ascii="Arial" w:hAnsi="Arial" w:cs="Arial"/>
        </w:rPr>
      </w:pPr>
      <w:r>
        <w:rPr>
          <w:rFonts w:ascii="Arial" w:hAnsi="Arial" w:cs="Arial"/>
        </w:rPr>
        <w:object w:dxaOrig="1520" w:dyaOrig="987" w14:anchorId="0E795B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8pt" o:ole="">
            <v:imagedata r:id="rId13" o:title=""/>
          </v:shape>
          <o:OLEObject Type="Embed" ProgID="Word.Document.12" ShapeID="_x0000_i1025" DrawAspect="Icon" ObjectID="_1761677164" r:id="rId14">
            <o:FieldCodes>\s</o:FieldCodes>
          </o:OLEObject>
        </w:object>
      </w:r>
    </w:p>
    <w:p w14:paraId="1CAA4D6C" w14:textId="77777777" w:rsidR="005529D8" w:rsidRDefault="005529D8" w:rsidP="00C90698">
      <w:pPr>
        <w:pStyle w:val="Heading1"/>
        <w:rPr>
          <w:rFonts w:ascii="Arial" w:hAnsi="Arial" w:cs="Arial"/>
          <w:b/>
          <w:bCs/>
          <w:color w:val="auto"/>
          <w:sz w:val="28"/>
          <w:szCs w:val="28"/>
        </w:rPr>
      </w:pPr>
    </w:p>
    <w:p w14:paraId="01E8B8B9" w14:textId="58034A4D" w:rsidR="005529D8" w:rsidRDefault="005529D8" w:rsidP="00C90698">
      <w:pPr>
        <w:pStyle w:val="Heading1"/>
        <w:rPr>
          <w:rFonts w:ascii="Arial" w:hAnsi="Arial" w:cs="Arial"/>
          <w:b/>
          <w:bCs/>
          <w:color w:val="auto"/>
          <w:sz w:val="28"/>
          <w:szCs w:val="28"/>
        </w:rPr>
      </w:pPr>
    </w:p>
    <w:p w14:paraId="1146558D" w14:textId="4BA014AB" w:rsidR="005529D8" w:rsidRDefault="005529D8" w:rsidP="005529D8"/>
    <w:p w14:paraId="5745CC7F" w14:textId="77777777" w:rsidR="0036088A" w:rsidRPr="005529D8" w:rsidRDefault="0036088A" w:rsidP="005529D8"/>
    <w:p w14:paraId="6694F89B" w14:textId="5CBAB619" w:rsidR="00C90698" w:rsidRPr="00E245B0" w:rsidRDefault="00C90698" w:rsidP="00C90698">
      <w:pPr>
        <w:pStyle w:val="Heading1"/>
        <w:rPr>
          <w:rFonts w:ascii="Arial" w:hAnsi="Arial" w:cs="Arial"/>
          <w:b/>
          <w:bCs/>
          <w:color w:val="auto"/>
          <w:sz w:val="28"/>
          <w:szCs w:val="28"/>
        </w:rPr>
      </w:pPr>
      <w:r w:rsidRPr="00E245B0">
        <w:rPr>
          <w:rFonts w:ascii="Arial" w:hAnsi="Arial" w:cs="Arial"/>
          <w:b/>
          <w:bCs/>
          <w:color w:val="auto"/>
          <w:sz w:val="28"/>
          <w:szCs w:val="28"/>
        </w:rPr>
        <w:lastRenderedPageBreak/>
        <w:t>Patient Safety Incident Response Plan</w:t>
      </w:r>
    </w:p>
    <w:tbl>
      <w:tblPr>
        <w:tblStyle w:val="ListTable4-Accent1"/>
        <w:tblW w:w="8926" w:type="dxa"/>
        <w:tblLook w:val="04A0" w:firstRow="1" w:lastRow="0" w:firstColumn="1" w:lastColumn="0" w:noHBand="0" w:noVBand="1"/>
      </w:tblPr>
      <w:tblGrid>
        <w:gridCol w:w="5098"/>
        <w:gridCol w:w="3828"/>
      </w:tblGrid>
      <w:tr w:rsidR="00C90698" w:rsidRPr="00B91107" w14:paraId="11A877FF" w14:textId="77777777" w:rsidTr="006A6B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Borders>
              <w:bottom w:val="single" w:sz="4" w:space="0" w:color="auto"/>
            </w:tcBorders>
          </w:tcPr>
          <w:p w14:paraId="7C123FED" w14:textId="77777777" w:rsidR="00C90698" w:rsidRPr="00B91107" w:rsidRDefault="00C90698" w:rsidP="00494A43">
            <w:pPr>
              <w:rPr>
                <w:rFonts w:ascii="Arial" w:hAnsi="Arial" w:cs="Arial"/>
              </w:rPr>
            </w:pPr>
            <w:r w:rsidRPr="00B91107">
              <w:rPr>
                <w:rFonts w:ascii="Arial" w:hAnsi="Arial" w:cs="Arial"/>
              </w:rPr>
              <w:t>Criteria</w:t>
            </w:r>
          </w:p>
        </w:tc>
        <w:tc>
          <w:tcPr>
            <w:tcW w:w="3828" w:type="dxa"/>
            <w:tcBorders>
              <w:bottom w:val="single" w:sz="4" w:space="0" w:color="auto"/>
            </w:tcBorders>
          </w:tcPr>
          <w:p w14:paraId="632B5D55" w14:textId="77777777" w:rsidR="00C90698" w:rsidRPr="00B91107" w:rsidRDefault="00C90698" w:rsidP="00494A43">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91107">
              <w:rPr>
                <w:rFonts w:ascii="Arial" w:hAnsi="Arial" w:cs="Arial"/>
              </w:rPr>
              <w:t>Comments</w:t>
            </w:r>
          </w:p>
        </w:tc>
      </w:tr>
      <w:tr w:rsidR="00C90698" w:rsidRPr="00B91107" w14:paraId="6A7C5BE3" w14:textId="77777777" w:rsidTr="006A6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auto"/>
              <w:left w:val="single" w:sz="4" w:space="0" w:color="auto"/>
              <w:bottom w:val="single" w:sz="4" w:space="0" w:color="auto"/>
              <w:right w:val="single" w:sz="4" w:space="0" w:color="auto"/>
            </w:tcBorders>
          </w:tcPr>
          <w:p w14:paraId="07103D9E" w14:textId="77777777" w:rsidR="00C90698" w:rsidRPr="0081711E" w:rsidRDefault="00C90698" w:rsidP="00494A43">
            <w:pPr>
              <w:rPr>
                <w:rFonts w:ascii="Arial" w:hAnsi="Arial" w:cs="Arial"/>
                <w:b w:val="0"/>
                <w:bCs w:val="0"/>
              </w:rPr>
            </w:pPr>
            <w:r w:rsidRPr="0081711E">
              <w:rPr>
                <w:rFonts w:ascii="Arial" w:hAnsi="Arial" w:cs="Arial"/>
                <w:b w:val="0"/>
                <w:bCs w:val="0"/>
              </w:rPr>
              <w:t xml:space="preserve">The safety profile is described, providing an accurate reflection of the safety issues within the organisation. There should be a clear description of the data sources </w:t>
            </w:r>
            <w:r>
              <w:rPr>
                <w:rFonts w:ascii="Arial" w:hAnsi="Arial" w:cs="Arial"/>
                <w:b w:val="0"/>
                <w:bCs w:val="0"/>
              </w:rPr>
              <w:t>used</w:t>
            </w:r>
            <w:r w:rsidRPr="0081711E">
              <w:rPr>
                <w:rFonts w:ascii="Arial" w:hAnsi="Arial" w:cs="Arial"/>
                <w:b w:val="0"/>
                <w:bCs w:val="0"/>
              </w:rPr>
              <w:t>.</w:t>
            </w:r>
          </w:p>
        </w:tc>
        <w:tc>
          <w:tcPr>
            <w:tcW w:w="3828" w:type="dxa"/>
            <w:tcBorders>
              <w:top w:val="single" w:sz="4" w:space="0" w:color="auto"/>
              <w:left w:val="single" w:sz="4" w:space="0" w:color="auto"/>
              <w:bottom w:val="single" w:sz="4" w:space="0" w:color="auto"/>
              <w:right w:val="single" w:sz="4" w:space="0" w:color="auto"/>
            </w:tcBorders>
          </w:tcPr>
          <w:p w14:paraId="151890EC" w14:textId="77777777" w:rsidR="00C90698" w:rsidRPr="00B91107" w:rsidRDefault="00C90698" w:rsidP="00494A4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698" w:rsidRPr="00B91107" w14:paraId="53E51342" w14:textId="77777777" w:rsidTr="006A6BB2">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auto"/>
              <w:left w:val="single" w:sz="4" w:space="0" w:color="auto"/>
              <w:bottom w:val="single" w:sz="4" w:space="0" w:color="auto"/>
              <w:right w:val="single" w:sz="4" w:space="0" w:color="auto"/>
            </w:tcBorders>
          </w:tcPr>
          <w:p w14:paraId="3FDE0F79" w14:textId="77777777" w:rsidR="00C90698" w:rsidRPr="0081711E" w:rsidRDefault="00C90698" w:rsidP="00494A43">
            <w:pPr>
              <w:rPr>
                <w:rFonts w:ascii="Arial" w:hAnsi="Arial" w:cs="Arial"/>
                <w:b w:val="0"/>
                <w:bCs w:val="0"/>
              </w:rPr>
            </w:pPr>
            <w:r w:rsidRPr="0081711E">
              <w:rPr>
                <w:rFonts w:ascii="Arial" w:hAnsi="Arial" w:cs="Arial"/>
                <w:b w:val="0"/>
                <w:bCs w:val="0"/>
              </w:rPr>
              <w:t>Specific service/department plans or elements should be defined.</w:t>
            </w:r>
          </w:p>
        </w:tc>
        <w:tc>
          <w:tcPr>
            <w:tcW w:w="3828" w:type="dxa"/>
            <w:tcBorders>
              <w:top w:val="single" w:sz="4" w:space="0" w:color="auto"/>
              <w:left w:val="single" w:sz="4" w:space="0" w:color="auto"/>
              <w:bottom w:val="single" w:sz="4" w:space="0" w:color="auto"/>
              <w:right w:val="single" w:sz="4" w:space="0" w:color="auto"/>
            </w:tcBorders>
          </w:tcPr>
          <w:p w14:paraId="45046009" w14:textId="77777777" w:rsidR="00C90698" w:rsidRPr="00B91107" w:rsidRDefault="00C90698" w:rsidP="00494A4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698" w:rsidRPr="00B91107" w14:paraId="07411B8E" w14:textId="77777777" w:rsidTr="006A6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auto"/>
              <w:left w:val="single" w:sz="4" w:space="0" w:color="auto"/>
              <w:bottom w:val="single" w:sz="4" w:space="0" w:color="auto"/>
              <w:right w:val="single" w:sz="4" w:space="0" w:color="auto"/>
            </w:tcBorders>
          </w:tcPr>
          <w:p w14:paraId="1620AA97" w14:textId="77777777" w:rsidR="00C90698" w:rsidRPr="0081711E" w:rsidRDefault="00C90698" w:rsidP="00494A43">
            <w:pPr>
              <w:rPr>
                <w:rFonts w:ascii="Arial" w:hAnsi="Arial" w:cs="Arial"/>
                <w:b w:val="0"/>
                <w:bCs w:val="0"/>
              </w:rPr>
            </w:pPr>
            <w:r w:rsidRPr="0081711E">
              <w:rPr>
                <w:rFonts w:ascii="Arial" w:hAnsi="Arial" w:cs="Arial"/>
                <w:b w:val="0"/>
                <w:bCs w:val="0"/>
              </w:rPr>
              <w:t>Clear evidence of engagement with a wide range of stakeholders (internal and external) within safety profile.</w:t>
            </w:r>
          </w:p>
        </w:tc>
        <w:tc>
          <w:tcPr>
            <w:tcW w:w="3828" w:type="dxa"/>
            <w:tcBorders>
              <w:top w:val="single" w:sz="4" w:space="0" w:color="auto"/>
              <w:left w:val="single" w:sz="4" w:space="0" w:color="auto"/>
              <w:bottom w:val="single" w:sz="4" w:space="0" w:color="auto"/>
              <w:right w:val="single" w:sz="4" w:space="0" w:color="auto"/>
            </w:tcBorders>
          </w:tcPr>
          <w:p w14:paraId="7E3D0DA3" w14:textId="77777777" w:rsidR="00C90698" w:rsidRPr="00B91107" w:rsidRDefault="00C90698" w:rsidP="00494A4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698" w:rsidRPr="00B91107" w14:paraId="0CFAFA13" w14:textId="77777777" w:rsidTr="006A6BB2">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auto"/>
              <w:left w:val="single" w:sz="4" w:space="0" w:color="auto"/>
              <w:bottom w:val="single" w:sz="4" w:space="0" w:color="auto"/>
              <w:right w:val="single" w:sz="4" w:space="0" w:color="auto"/>
            </w:tcBorders>
          </w:tcPr>
          <w:p w14:paraId="67CADB71" w14:textId="77777777" w:rsidR="00C90698" w:rsidRPr="0081711E" w:rsidRDefault="00C90698" w:rsidP="00494A43">
            <w:pPr>
              <w:rPr>
                <w:rFonts w:ascii="Arial" w:hAnsi="Arial" w:cs="Arial"/>
                <w:b w:val="0"/>
                <w:bCs w:val="0"/>
              </w:rPr>
            </w:pPr>
            <w:r w:rsidRPr="0081711E">
              <w:rPr>
                <w:rFonts w:ascii="Arial" w:hAnsi="Arial" w:cs="Arial"/>
                <w:b w:val="0"/>
                <w:bCs w:val="0"/>
              </w:rPr>
              <w:t>The organisation describes its own safety culture and how it reaches this conclusion. There is a plan to improve cultural/behavioural elements of PSIRF.</w:t>
            </w:r>
          </w:p>
        </w:tc>
        <w:tc>
          <w:tcPr>
            <w:tcW w:w="3828" w:type="dxa"/>
            <w:tcBorders>
              <w:top w:val="single" w:sz="4" w:space="0" w:color="auto"/>
              <w:left w:val="single" w:sz="4" w:space="0" w:color="auto"/>
              <w:bottom w:val="single" w:sz="4" w:space="0" w:color="auto"/>
              <w:right w:val="single" w:sz="4" w:space="0" w:color="auto"/>
            </w:tcBorders>
          </w:tcPr>
          <w:p w14:paraId="6C517B7A" w14:textId="77777777" w:rsidR="00C90698" w:rsidRPr="00B91107" w:rsidRDefault="00C90698" w:rsidP="00494A4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698" w:rsidRPr="00B91107" w14:paraId="524FD200" w14:textId="77777777" w:rsidTr="006A6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auto"/>
              <w:left w:val="single" w:sz="4" w:space="0" w:color="auto"/>
              <w:bottom w:val="single" w:sz="4" w:space="0" w:color="auto"/>
              <w:right w:val="single" w:sz="4" w:space="0" w:color="auto"/>
            </w:tcBorders>
          </w:tcPr>
          <w:p w14:paraId="13585D08" w14:textId="77777777" w:rsidR="00C90698" w:rsidRPr="0081711E" w:rsidRDefault="00C90698" w:rsidP="00494A43">
            <w:pPr>
              <w:rPr>
                <w:rFonts w:ascii="Arial" w:hAnsi="Arial" w:cs="Arial"/>
                <w:b w:val="0"/>
                <w:bCs w:val="0"/>
              </w:rPr>
            </w:pPr>
            <w:r w:rsidRPr="0081711E">
              <w:rPr>
                <w:rFonts w:ascii="Arial" w:hAnsi="Arial" w:cs="Arial"/>
                <w:b w:val="0"/>
                <w:bCs w:val="0"/>
              </w:rPr>
              <w:t>Planned and current improvement work in place across the organisation is mapped.</w:t>
            </w:r>
          </w:p>
        </w:tc>
        <w:tc>
          <w:tcPr>
            <w:tcW w:w="3828" w:type="dxa"/>
            <w:tcBorders>
              <w:top w:val="single" w:sz="4" w:space="0" w:color="auto"/>
              <w:left w:val="single" w:sz="4" w:space="0" w:color="auto"/>
              <w:bottom w:val="single" w:sz="4" w:space="0" w:color="auto"/>
              <w:right w:val="single" w:sz="4" w:space="0" w:color="auto"/>
            </w:tcBorders>
          </w:tcPr>
          <w:p w14:paraId="3FF5C33D" w14:textId="77777777" w:rsidR="00C90698" w:rsidRPr="00B91107" w:rsidRDefault="00C90698" w:rsidP="00494A4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698" w:rsidRPr="00B91107" w14:paraId="5B37DC7D" w14:textId="77777777" w:rsidTr="006A6BB2">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auto"/>
              <w:left w:val="single" w:sz="4" w:space="0" w:color="auto"/>
              <w:bottom w:val="single" w:sz="4" w:space="0" w:color="auto"/>
              <w:right w:val="single" w:sz="4" w:space="0" w:color="auto"/>
            </w:tcBorders>
          </w:tcPr>
          <w:p w14:paraId="5B3837D8" w14:textId="77777777" w:rsidR="00C90698" w:rsidRPr="0081711E" w:rsidRDefault="00C90698" w:rsidP="00494A43">
            <w:pPr>
              <w:rPr>
                <w:rFonts w:ascii="Arial" w:hAnsi="Arial" w:cs="Arial"/>
                <w:b w:val="0"/>
                <w:bCs w:val="0"/>
              </w:rPr>
            </w:pPr>
            <w:r w:rsidRPr="0081711E">
              <w:rPr>
                <w:rFonts w:ascii="Arial" w:hAnsi="Arial" w:cs="Arial"/>
                <w:b w:val="0"/>
                <w:bCs w:val="0"/>
              </w:rPr>
              <w:t>Planned incident response methods are defined. These reflect the national mandatory responses. The local responses planned are sensible and proportionate.</w:t>
            </w:r>
          </w:p>
        </w:tc>
        <w:tc>
          <w:tcPr>
            <w:tcW w:w="3828" w:type="dxa"/>
            <w:tcBorders>
              <w:top w:val="single" w:sz="4" w:space="0" w:color="auto"/>
              <w:left w:val="single" w:sz="4" w:space="0" w:color="auto"/>
              <w:bottom w:val="single" w:sz="4" w:space="0" w:color="auto"/>
              <w:right w:val="single" w:sz="4" w:space="0" w:color="auto"/>
            </w:tcBorders>
          </w:tcPr>
          <w:p w14:paraId="16C33E40" w14:textId="77777777" w:rsidR="00C90698" w:rsidRPr="00B91107" w:rsidRDefault="00C90698" w:rsidP="00494A4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698" w:rsidRPr="00B91107" w14:paraId="0070CF12" w14:textId="77777777" w:rsidTr="006A6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auto"/>
              <w:left w:val="single" w:sz="4" w:space="0" w:color="auto"/>
              <w:bottom w:val="single" w:sz="4" w:space="0" w:color="auto"/>
              <w:right w:val="single" w:sz="4" w:space="0" w:color="auto"/>
            </w:tcBorders>
          </w:tcPr>
          <w:p w14:paraId="09128CF1" w14:textId="77777777" w:rsidR="00C90698" w:rsidRPr="0081711E" w:rsidRDefault="00C90698" w:rsidP="00494A43">
            <w:pPr>
              <w:rPr>
                <w:rFonts w:ascii="Arial" w:hAnsi="Arial" w:cs="Arial"/>
                <w:b w:val="0"/>
                <w:bCs w:val="0"/>
              </w:rPr>
            </w:pPr>
            <w:r w:rsidRPr="0081711E">
              <w:rPr>
                <w:rFonts w:ascii="Arial" w:hAnsi="Arial" w:cs="Arial"/>
                <w:b w:val="0"/>
                <w:bCs w:val="0"/>
              </w:rPr>
              <w:t>PSIRP should include leading learning responses to multi-organisation, or cross-system patient safety incidents.</w:t>
            </w:r>
          </w:p>
        </w:tc>
        <w:tc>
          <w:tcPr>
            <w:tcW w:w="3828" w:type="dxa"/>
            <w:tcBorders>
              <w:top w:val="single" w:sz="4" w:space="0" w:color="auto"/>
              <w:left w:val="single" w:sz="4" w:space="0" w:color="auto"/>
              <w:bottom w:val="single" w:sz="4" w:space="0" w:color="auto"/>
              <w:right w:val="single" w:sz="4" w:space="0" w:color="auto"/>
            </w:tcBorders>
          </w:tcPr>
          <w:p w14:paraId="27B5B1C0" w14:textId="77777777" w:rsidR="00C90698" w:rsidRPr="00B91107" w:rsidRDefault="00C90698" w:rsidP="00494A4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698" w:rsidRPr="00B91107" w14:paraId="12396E29" w14:textId="77777777" w:rsidTr="006A6BB2">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auto"/>
              <w:left w:val="single" w:sz="4" w:space="0" w:color="auto"/>
              <w:bottom w:val="single" w:sz="4" w:space="0" w:color="auto"/>
              <w:right w:val="single" w:sz="4" w:space="0" w:color="auto"/>
            </w:tcBorders>
          </w:tcPr>
          <w:p w14:paraId="02C4A17C" w14:textId="77777777" w:rsidR="00C90698" w:rsidRPr="0081711E" w:rsidRDefault="00C90698" w:rsidP="00494A43">
            <w:pPr>
              <w:rPr>
                <w:rFonts w:ascii="Arial" w:hAnsi="Arial" w:cs="Arial"/>
                <w:b w:val="0"/>
                <w:bCs w:val="0"/>
              </w:rPr>
            </w:pPr>
            <w:r>
              <w:rPr>
                <w:rFonts w:ascii="Arial" w:hAnsi="Arial" w:cs="Arial"/>
                <w:b w:val="0"/>
                <w:bCs w:val="0"/>
              </w:rPr>
              <w:t>PSIRP should include how the organisation plans to support patients/ families and staff</w:t>
            </w:r>
          </w:p>
        </w:tc>
        <w:tc>
          <w:tcPr>
            <w:tcW w:w="3828" w:type="dxa"/>
            <w:tcBorders>
              <w:top w:val="single" w:sz="4" w:space="0" w:color="auto"/>
              <w:left w:val="single" w:sz="4" w:space="0" w:color="auto"/>
              <w:bottom w:val="single" w:sz="4" w:space="0" w:color="auto"/>
              <w:right w:val="single" w:sz="4" w:space="0" w:color="auto"/>
            </w:tcBorders>
          </w:tcPr>
          <w:p w14:paraId="4C73D183" w14:textId="77777777" w:rsidR="00C90698" w:rsidRPr="00B91107" w:rsidRDefault="00C90698" w:rsidP="00494A4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698" w:rsidRPr="00B91107" w14:paraId="7A8C65C5" w14:textId="77777777" w:rsidTr="006A6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auto"/>
              <w:left w:val="single" w:sz="4" w:space="0" w:color="auto"/>
              <w:bottom w:val="single" w:sz="4" w:space="0" w:color="auto"/>
              <w:right w:val="single" w:sz="4" w:space="0" w:color="auto"/>
            </w:tcBorders>
          </w:tcPr>
          <w:p w14:paraId="4043E4C6" w14:textId="77777777" w:rsidR="00C90698" w:rsidRPr="0081711E" w:rsidRDefault="00C90698" w:rsidP="00494A43">
            <w:pPr>
              <w:rPr>
                <w:rFonts w:ascii="Arial" w:hAnsi="Arial" w:cs="Arial"/>
                <w:b w:val="0"/>
                <w:bCs w:val="0"/>
              </w:rPr>
            </w:pPr>
            <w:r w:rsidRPr="0081711E">
              <w:rPr>
                <w:rFonts w:ascii="Arial" w:hAnsi="Arial" w:cs="Arial"/>
                <w:b w:val="0"/>
                <w:bCs w:val="0"/>
              </w:rPr>
              <w:t>PSIRP should include learning responses from good or positive care</w:t>
            </w:r>
          </w:p>
        </w:tc>
        <w:tc>
          <w:tcPr>
            <w:tcW w:w="3828" w:type="dxa"/>
            <w:tcBorders>
              <w:top w:val="single" w:sz="4" w:space="0" w:color="auto"/>
              <w:left w:val="single" w:sz="4" w:space="0" w:color="auto"/>
              <w:bottom w:val="single" w:sz="4" w:space="0" w:color="auto"/>
              <w:right w:val="single" w:sz="4" w:space="0" w:color="auto"/>
            </w:tcBorders>
          </w:tcPr>
          <w:p w14:paraId="07AC5D85" w14:textId="77777777" w:rsidR="00C90698" w:rsidRPr="00B91107" w:rsidRDefault="00C90698" w:rsidP="00494A4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54C136C" w14:textId="77777777" w:rsidR="0036088A" w:rsidRDefault="0036088A" w:rsidP="00C90698">
      <w:pPr>
        <w:pStyle w:val="Heading1"/>
        <w:rPr>
          <w:rFonts w:ascii="Arial" w:hAnsi="Arial" w:cs="Arial"/>
          <w:b/>
          <w:bCs/>
          <w:color w:val="auto"/>
          <w:sz w:val="28"/>
          <w:szCs w:val="28"/>
        </w:rPr>
      </w:pPr>
    </w:p>
    <w:p w14:paraId="26BED787" w14:textId="77777777" w:rsidR="0036088A" w:rsidRDefault="0036088A">
      <w:pPr>
        <w:rPr>
          <w:rFonts w:ascii="Arial" w:eastAsiaTheme="majorEastAsia" w:hAnsi="Arial" w:cs="Arial"/>
          <w:b/>
          <w:bCs/>
          <w:sz w:val="28"/>
          <w:szCs w:val="28"/>
        </w:rPr>
      </w:pPr>
      <w:r>
        <w:rPr>
          <w:rFonts w:ascii="Arial" w:hAnsi="Arial" w:cs="Arial"/>
          <w:b/>
          <w:bCs/>
          <w:sz w:val="28"/>
          <w:szCs w:val="28"/>
        </w:rPr>
        <w:br w:type="page"/>
      </w:r>
    </w:p>
    <w:p w14:paraId="77292814" w14:textId="32920461" w:rsidR="00C90698" w:rsidRPr="006A6BB2" w:rsidRDefault="00C90698" w:rsidP="00C90698">
      <w:pPr>
        <w:pStyle w:val="Heading1"/>
        <w:rPr>
          <w:rFonts w:ascii="Arial" w:hAnsi="Arial" w:cs="Arial"/>
          <w:b/>
          <w:bCs/>
          <w:color w:val="auto"/>
          <w:sz w:val="28"/>
          <w:szCs w:val="28"/>
        </w:rPr>
      </w:pPr>
      <w:r w:rsidRPr="006A6BB2">
        <w:rPr>
          <w:rFonts w:ascii="Arial" w:hAnsi="Arial" w:cs="Arial"/>
          <w:b/>
          <w:bCs/>
          <w:color w:val="auto"/>
          <w:sz w:val="28"/>
          <w:szCs w:val="28"/>
        </w:rPr>
        <w:lastRenderedPageBreak/>
        <w:t>Patient Safety Incident Response Policy</w:t>
      </w:r>
    </w:p>
    <w:tbl>
      <w:tblPr>
        <w:tblStyle w:val="ListTable4-Accent6"/>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686"/>
      </w:tblGrid>
      <w:tr w:rsidR="00C90698" w:rsidRPr="0081711E" w14:paraId="25001778" w14:textId="77777777" w:rsidTr="003608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top w:val="none" w:sz="0" w:space="0" w:color="auto"/>
              <w:left w:val="none" w:sz="0" w:space="0" w:color="auto"/>
              <w:bottom w:val="none" w:sz="0" w:space="0" w:color="auto"/>
            </w:tcBorders>
          </w:tcPr>
          <w:p w14:paraId="00F38EAA" w14:textId="77777777" w:rsidR="00C90698" w:rsidRPr="0081711E" w:rsidRDefault="00C90698" w:rsidP="00494A43">
            <w:pPr>
              <w:rPr>
                <w:rFonts w:ascii="Arial" w:hAnsi="Arial" w:cs="Arial"/>
                <w:b w:val="0"/>
                <w:bCs w:val="0"/>
              </w:rPr>
            </w:pPr>
            <w:r w:rsidRPr="0081711E">
              <w:rPr>
                <w:rFonts w:ascii="Arial" w:hAnsi="Arial" w:cs="Arial"/>
                <w:b w:val="0"/>
                <w:bCs w:val="0"/>
              </w:rPr>
              <w:t>Criteria</w:t>
            </w:r>
          </w:p>
        </w:tc>
        <w:tc>
          <w:tcPr>
            <w:tcW w:w="3686" w:type="dxa"/>
            <w:tcBorders>
              <w:top w:val="none" w:sz="0" w:space="0" w:color="auto"/>
              <w:bottom w:val="none" w:sz="0" w:space="0" w:color="auto"/>
              <w:right w:val="none" w:sz="0" w:space="0" w:color="auto"/>
            </w:tcBorders>
          </w:tcPr>
          <w:p w14:paraId="1AB4CBEE" w14:textId="77777777" w:rsidR="00C90698" w:rsidRPr="0081711E" w:rsidRDefault="00C90698" w:rsidP="00494A43">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81711E">
              <w:rPr>
                <w:rFonts w:ascii="Arial" w:hAnsi="Arial" w:cs="Arial"/>
                <w:b w:val="0"/>
                <w:bCs w:val="0"/>
              </w:rPr>
              <w:t>Comments</w:t>
            </w:r>
          </w:p>
        </w:tc>
      </w:tr>
      <w:tr w:rsidR="00C90698" w:rsidRPr="0081711E" w14:paraId="6E0EEBB3" w14:textId="77777777" w:rsidTr="00360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0F9129CE" w14:textId="77777777" w:rsidR="00C90698" w:rsidRPr="0081711E" w:rsidRDefault="00C90698" w:rsidP="00494A43">
            <w:pPr>
              <w:rPr>
                <w:rFonts w:ascii="Arial" w:hAnsi="Arial" w:cs="Arial"/>
                <w:b w:val="0"/>
                <w:bCs w:val="0"/>
              </w:rPr>
            </w:pPr>
            <w:r w:rsidRPr="0081711E">
              <w:rPr>
                <w:rFonts w:ascii="Arial" w:hAnsi="Arial" w:cs="Arial"/>
                <w:b w:val="0"/>
                <w:bCs w:val="0"/>
              </w:rPr>
              <w:t>Clear description of the proactive efforts made to promote a positive safety culture, including a reporting culture and a just culture.</w:t>
            </w:r>
          </w:p>
        </w:tc>
        <w:tc>
          <w:tcPr>
            <w:tcW w:w="3686" w:type="dxa"/>
          </w:tcPr>
          <w:p w14:paraId="4EFD7F71" w14:textId="77777777" w:rsidR="00C90698" w:rsidRPr="0081711E" w:rsidRDefault="00C90698" w:rsidP="00494A4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698" w:rsidRPr="0081711E" w14:paraId="3098233C" w14:textId="77777777" w:rsidTr="0036088A">
        <w:tc>
          <w:tcPr>
            <w:cnfStyle w:val="001000000000" w:firstRow="0" w:lastRow="0" w:firstColumn="1" w:lastColumn="0" w:oddVBand="0" w:evenVBand="0" w:oddHBand="0" w:evenHBand="0" w:firstRowFirstColumn="0" w:firstRowLastColumn="0" w:lastRowFirstColumn="0" w:lastRowLastColumn="0"/>
            <w:tcW w:w="5240" w:type="dxa"/>
          </w:tcPr>
          <w:p w14:paraId="4D752BDC" w14:textId="77777777" w:rsidR="00C90698" w:rsidRPr="0081711E" w:rsidRDefault="00C90698" w:rsidP="00494A43">
            <w:pPr>
              <w:rPr>
                <w:rFonts w:ascii="Arial" w:hAnsi="Arial" w:cs="Arial"/>
                <w:b w:val="0"/>
                <w:bCs w:val="0"/>
              </w:rPr>
            </w:pPr>
            <w:r w:rsidRPr="0081711E">
              <w:rPr>
                <w:rFonts w:ascii="Arial" w:hAnsi="Arial" w:cs="Arial"/>
                <w:b w:val="0"/>
                <w:bCs w:val="0"/>
              </w:rPr>
              <w:t>The role of Patient Safety Partners within the patient safety incident response policy and plan is defined.</w:t>
            </w:r>
          </w:p>
        </w:tc>
        <w:tc>
          <w:tcPr>
            <w:tcW w:w="3686" w:type="dxa"/>
          </w:tcPr>
          <w:p w14:paraId="23207E40" w14:textId="77777777" w:rsidR="00C90698" w:rsidRPr="0081711E" w:rsidRDefault="00C90698" w:rsidP="00494A4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698" w:rsidRPr="0081711E" w14:paraId="46264151" w14:textId="77777777" w:rsidTr="00360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578C814C" w14:textId="77777777" w:rsidR="00C90698" w:rsidRPr="0081711E" w:rsidRDefault="00C90698" w:rsidP="00494A43">
            <w:pPr>
              <w:rPr>
                <w:rFonts w:ascii="Arial" w:hAnsi="Arial" w:cs="Arial"/>
                <w:b w:val="0"/>
                <w:bCs w:val="0"/>
              </w:rPr>
            </w:pPr>
            <w:r w:rsidRPr="0081711E">
              <w:rPr>
                <w:rFonts w:ascii="Arial" w:hAnsi="Arial" w:cs="Arial"/>
                <w:b w:val="0"/>
                <w:bCs w:val="0"/>
              </w:rPr>
              <w:t>Description of how patient safety incident response processes support health equality and reduce inequality.</w:t>
            </w:r>
          </w:p>
        </w:tc>
        <w:tc>
          <w:tcPr>
            <w:tcW w:w="3686" w:type="dxa"/>
          </w:tcPr>
          <w:p w14:paraId="44492BE8" w14:textId="77777777" w:rsidR="00C90698" w:rsidRPr="0081711E" w:rsidRDefault="00C90698" w:rsidP="00494A4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698" w:rsidRPr="0081711E" w14:paraId="21EB3090" w14:textId="77777777" w:rsidTr="0036088A">
        <w:tc>
          <w:tcPr>
            <w:cnfStyle w:val="001000000000" w:firstRow="0" w:lastRow="0" w:firstColumn="1" w:lastColumn="0" w:oddVBand="0" w:evenVBand="0" w:oddHBand="0" w:evenHBand="0" w:firstRowFirstColumn="0" w:firstRowLastColumn="0" w:lastRowFirstColumn="0" w:lastRowLastColumn="0"/>
            <w:tcW w:w="5240" w:type="dxa"/>
          </w:tcPr>
          <w:p w14:paraId="44A498B1" w14:textId="77777777" w:rsidR="00C90698" w:rsidRPr="0081711E" w:rsidRDefault="00C90698" w:rsidP="00494A43">
            <w:pPr>
              <w:rPr>
                <w:rFonts w:ascii="Arial" w:hAnsi="Arial" w:cs="Arial"/>
                <w:b w:val="0"/>
                <w:bCs w:val="0"/>
              </w:rPr>
            </w:pPr>
            <w:r w:rsidRPr="0081711E">
              <w:rPr>
                <w:rFonts w:ascii="Arial" w:hAnsi="Arial" w:cs="Arial"/>
                <w:b w:val="0"/>
                <w:bCs w:val="0"/>
              </w:rPr>
              <w:t xml:space="preserve">Description of how those affected by a patient safety incident will be supported – this includes patients, </w:t>
            </w:r>
            <w:proofErr w:type="gramStart"/>
            <w:r w:rsidRPr="0081711E">
              <w:rPr>
                <w:rFonts w:ascii="Arial" w:hAnsi="Arial" w:cs="Arial"/>
                <w:b w:val="0"/>
                <w:bCs w:val="0"/>
              </w:rPr>
              <w:t>families</w:t>
            </w:r>
            <w:proofErr w:type="gramEnd"/>
            <w:r w:rsidRPr="0081711E">
              <w:rPr>
                <w:rFonts w:ascii="Arial" w:hAnsi="Arial" w:cs="Arial"/>
                <w:b w:val="0"/>
                <w:bCs w:val="0"/>
              </w:rPr>
              <w:t xml:space="preserve"> and staff.</w:t>
            </w:r>
          </w:p>
        </w:tc>
        <w:tc>
          <w:tcPr>
            <w:tcW w:w="3686" w:type="dxa"/>
          </w:tcPr>
          <w:p w14:paraId="79829716" w14:textId="77777777" w:rsidR="00C90698" w:rsidRPr="0081711E" w:rsidRDefault="00C90698" w:rsidP="00494A4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698" w:rsidRPr="0081711E" w14:paraId="78DD38EB" w14:textId="77777777" w:rsidTr="00360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56B2CAAB" w14:textId="77777777" w:rsidR="00C90698" w:rsidRPr="0081711E" w:rsidRDefault="00C90698" w:rsidP="00494A43">
            <w:pPr>
              <w:rPr>
                <w:rFonts w:ascii="Arial" w:hAnsi="Arial" w:cs="Arial"/>
                <w:b w:val="0"/>
                <w:bCs w:val="0"/>
              </w:rPr>
            </w:pPr>
            <w:r w:rsidRPr="0081711E">
              <w:rPr>
                <w:rFonts w:ascii="Arial" w:hAnsi="Arial" w:cs="Arial"/>
                <w:b w:val="0"/>
                <w:bCs w:val="0"/>
              </w:rPr>
              <w:t>Duty of Candour within PSIRF is described.</w:t>
            </w:r>
          </w:p>
        </w:tc>
        <w:tc>
          <w:tcPr>
            <w:tcW w:w="3686" w:type="dxa"/>
          </w:tcPr>
          <w:p w14:paraId="2415F177" w14:textId="77777777" w:rsidR="00C90698" w:rsidRPr="0081711E" w:rsidRDefault="00C90698" w:rsidP="00494A4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698" w:rsidRPr="0081711E" w14:paraId="59BE4F6F" w14:textId="77777777" w:rsidTr="0036088A">
        <w:tc>
          <w:tcPr>
            <w:cnfStyle w:val="001000000000" w:firstRow="0" w:lastRow="0" w:firstColumn="1" w:lastColumn="0" w:oddVBand="0" w:evenVBand="0" w:oddHBand="0" w:evenHBand="0" w:firstRowFirstColumn="0" w:firstRowLastColumn="0" w:lastRowFirstColumn="0" w:lastRowLastColumn="0"/>
            <w:tcW w:w="5240" w:type="dxa"/>
          </w:tcPr>
          <w:p w14:paraId="59DD95A4" w14:textId="77777777" w:rsidR="00C90698" w:rsidRPr="0081711E" w:rsidRDefault="00C90698" w:rsidP="00494A43">
            <w:pPr>
              <w:rPr>
                <w:rFonts w:ascii="Arial" w:hAnsi="Arial" w:cs="Arial"/>
                <w:b w:val="0"/>
                <w:bCs w:val="0"/>
              </w:rPr>
            </w:pPr>
            <w:r w:rsidRPr="0081711E">
              <w:rPr>
                <w:rFonts w:ascii="Arial" w:hAnsi="Arial" w:cs="Arial"/>
                <w:b w:val="0"/>
                <w:bCs w:val="0"/>
              </w:rPr>
              <w:t>Staff capacity and time to respond to Patient Safety Incidents are described.</w:t>
            </w:r>
          </w:p>
        </w:tc>
        <w:tc>
          <w:tcPr>
            <w:tcW w:w="3686" w:type="dxa"/>
          </w:tcPr>
          <w:p w14:paraId="24C2A19A" w14:textId="77777777" w:rsidR="00C90698" w:rsidRPr="0081711E" w:rsidRDefault="00C90698" w:rsidP="00494A4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698" w:rsidRPr="0081711E" w14:paraId="162EFF85" w14:textId="77777777" w:rsidTr="00360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74FA41E4" w14:textId="77777777" w:rsidR="00C90698" w:rsidRPr="0081711E" w:rsidRDefault="00C90698" w:rsidP="00494A43">
            <w:pPr>
              <w:rPr>
                <w:rFonts w:ascii="Arial" w:hAnsi="Arial" w:cs="Arial"/>
                <w:b w:val="0"/>
                <w:bCs w:val="0"/>
              </w:rPr>
            </w:pPr>
            <w:r w:rsidRPr="0081711E">
              <w:rPr>
                <w:rFonts w:ascii="Arial" w:hAnsi="Arial" w:cs="Arial"/>
                <w:b w:val="0"/>
                <w:bCs w:val="0"/>
              </w:rPr>
              <w:t>Staff training requirements and accessing these are described.</w:t>
            </w:r>
          </w:p>
        </w:tc>
        <w:tc>
          <w:tcPr>
            <w:tcW w:w="3686" w:type="dxa"/>
          </w:tcPr>
          <w:p w14:paraId="3FBECF99" w14:textId="77777777" w:rsidR="00C90698" w:rsidRPr="0081711E" w:rsidRDefault="00C90698" w:rsidP="00494A4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698" w:rsidRPr="0081711E" w14:paraId="5005CD7F" w14:textId="77777777" w:rsidTr="0036088A">
        <w:tc>
          <w:tcPr>
            <w:cnfStyle w:val="001000000000" w:firstRow="0" w:lastRow="0" w:firstColumn="1" w:lastColumn="0" w:oddVBand="0" w:evenVBand="0" w:oddHBand="0" w:evenHBand="0" w:firstRowFirstColumn="0" w:firstRowLastColumn="0" w:lastRowFirstColumn="0" w:lastRowLastColumn="0"/>
            <w:tcW w:w="5240" w:type="dxa"/>
          </w:tcPr>
          <w:p w14:paraId="240D4A1D" w14:textId="77777777" w:rsidR="00C90698" w:rsidRPr="0081711E" w:rsidRDefault="00C90698" w:rsidP="00494A43">
            <w:pPr>
              <w:rPr>
                <w:rFonts w:ascii="Arial" w:hAnsi="Arial" w:cs="Arial"/>
                <w:b w:val="0"/>
                <w:bCs w:val="0"/>
              </w:rPr>
            </w:pPr>
            <w:r w:rsidRPr="0081711E">
              <w:rPr>
                <w:rFonts w:ascii="Arial" w:hAnsi="Arial" w:cs="Arial"/>
                <w:b w:val="0"/>
                <w:bCs w:val="0"/>
              </w:rPr>
              <w:t>The process to review the PSIRP is defined to keep it amended and updated.</w:t>
            </w:r>
          </w:p>
        </w:tc>
        <w:tc>
          <w:tcPr>
            <w:tcW w:w="3686" w:type="dxa"/>
          </w:tcPr>
          <w:p w14:paraId="2CE1083D" w14:textId="77777777" w:rsidR="00C90698" w:rsidRPr="0081711E" w:rsidRDefault="00C90698" w:rsidP="00494A4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698" w:rsidRPr="0081711E" w14:paraId="1D3BFB0A" w14:textId="77777777" w:rsidTr="00360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4352E0A1" w14:textId="66F14285" w:rsidR="00C90698" w:rsidRPr="005529D8" w:rsidRDefault="00C90698" w:rsidP="00494A43">
            <w:pPr>
              <w:rPr>
                <w:rFonts w:ascii="Arial" w:hAnsi="Arial" w:cs="Arial"/>
              </w:rPr>
            </w:pPr>
            <w:r w:rsidRPr="0081711E">
              <w:rPr>
                <w:rFonts w:ascii="Arial" w:hAnsi="Arial" w:cs="Arial"/>
                <w:b w:val="0"/>
                <w:bCs w:val="0"/>
              </w:rPr>
              <w:t>Review date for the PSIRP is defined.</w:t>
            </w:r>
          </w:p>
        </w:tc>
        <w:tc>
          <w:tcPr>
            <w:tcW w:w="3686" w:type="dxa"/>
          </w:tcPr>
          <w:p w14:paraId="5D80474B" w14:textId="77777777" w:rsidR="00C90698" w:rsidRPr="0081711E" w:rsidRDefault="00C90698" w:rsidP="00494A4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698" w:rsidRPr="0081711E" w14:paraId="5B60298D" w14:textId="77777777" w:rsidTr="0036088A">
        <w:tc>
          <w:tcPr>
            <w:cnfStyle w:val="001000000000" w:firstRow="0" w:lastRow="0" w:firstColumn="1" w:lastColumn="0" w:oddVBand="0" w:evenVBand="0" w:oddHBand="0" w:evenHBand="0" w:firstRowFirstColumn="0" w:firstRowLastColumn="0" w:lastRowFirstColumn="0" w:lastRowLastColumn="0"/>
            <w:tcW w:w="5240" w:type="dxa"/>
          </w:tcPr>
          <w:p w14:paraId="211A6C9A" w14:textId="77777777" w:rsidR="00C90698" w:rsidRPr="0081711E" w:rsidRDefault="00C90698" w:rsidP="00494A43">
            <w:pPr>
              <w:rPr>
                <w:rFonts w:ascii="Arial" w:hAnsi="Arial" w:cs="Arial"/>
                <w:b w:val="0"/>
                <w:bCs w:val="0"/>
              </w:rPr>
            </w:pPr>
            <w:r w:rsidRPr="0081711E">
              <w:rPr>
                <w:rFonts w:ascii="Arial" w:hAnsi="Arial" w:cs="Arial"/>
                <w:b w:val="0"/>
                <w:bCs w:val="0"/>
              </w:rPr>
              <w:t>A process for reporting cross-organisational or cross-system issues is defined, and in line with local arrangements with the ICB.</w:t>
            </w:r>
          </w:p>
        </w:tc>
        <w:tc>
          <w:tcPr>
            <w:tcW w:w="3686" w:type="dxa"/>
          </w:tcPr>
          <w:p w14:paraId="0DC50BBE" w14:textId="77777777" w:rsidR="00C90698" w:rsidRPr="0081711E" w:rsidRDefault="00C90698" w:rsidP="00494A4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698" w:rsidRPr="0081711E" w14:paraId="45C9EFD4" w14:textId="77777777" w:rsidTr="00360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1326E28A" w14:textId="77777777" w:rsidR="00C90698" w:rsidRPr="0081711E" w:rsidRDefault="00C90698" w:rsidP="00494A43">
            <w:pPr>
              <w:rPr>
                <w:rFonts w:ascii="Arial" w:hAnsi="Arial" w:cs="Arial"/>
                <w:b w:val="0"/>
                <w:bCs w:val="0"/>
              </w:rPr>
            </w:pPr>
            <w:r w:rsidRPr="0081711E">
              <w:rPr>
                <w:rFonts w:ascii="Arial" w:hAnsi="Arial" w:cs="Arial"/>
                <w:b w:val="0"/>
                <w:bCs w:val="0"/>
              </w:rPr>
              <w:t>PSI decision making processes are described – reflecting proactive learning responses and reactive learning responses – these are proportionate.</w:t>
            </w:r>
          </w:p>
        </w:tc>
        <w:tc>
          <w:tcPr>
            <w:tcW w:w="3686" w:type="dxa"/>
          </w:tcPr>
          <w:p w14:paraId="55CD7337" w14:textId="77777777" w:rsidR="00C90698" w:rsidRPr="0081711E" w:rsidRDefault="00C90698" w:rsidP="00494A4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698" w:rsidRPr="0081711E" w14:paraId="26A8AEE8" w14:textId="77777777" w:rsidTr="0036088A">
        <w:tc>
          <w:tcPr>
            <w:cnfStyle w:val="001000000000" w:firstRow="0" w:lastRow="0" w:firstColumn="1" w:lastColumn="0" w:oddVBand="0" w:evenVBand="0" w:oddHBand="0" w:evenHBand="0" w:firstRowFirstColumn="0" w:firstRowLastColumn="0" w:lastRowFirstColumn="0" w:lastRowLastColumn="0"/>
            <w:tcW w:w="5240" w:type="dxa"/>
          </w:tcPr>
          <w:p w14:paraId="4BF36EF0" w14:textId="524CCA14" w:rsidR="00C90698" w:rsidRPr="005529D8" w:rsidRDefault="00C90698" w:rsidP="00494A43">
            <w:pPr>
              <w:rPr>
                <w:rFonts w:ascii="Arial" w:hAnsi="Arial" w:cs="Arial"/>
              </w:rPr>
            </w:pPr>
            <w:r w:rsidRPr="0081711E">
              <w:rPr>
                <w:rFonts w:ascii="Arial" w:hAnsi="Arial" w:cs="Arial"/>
                <w:b w:val="0"/>
                <w:bCs w:val="0"/>
              </w:rPr>
              <w:t>Timeframes for learning responses are defined.</w:t>
            </w:r>
          </w:p>
        </w:tc>
        <w:tc>
          <w:tcPr>
            <w:tcW w:w="3686" w:type="dxa"/>
          </w:tcPr>
          <w:p w14:paraId="54F3C3BB" w14:textId="77777777" w:rsidR="00C90698" w:rsidRPr="0081711E" w:rsidRDefault="00C90698" w:rsidP="00494A4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698" w:rsidRPr="0081711E" w14:paraId="7928982C" w14:textId="77777777" w:rsidTr="00360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304AC92F" w14:textId="77777777" w:rsidR="00C90698" w:rsidRPr="0081711E" w:rsidRDefault="00C90698" w:rsidP="00494A43">
            <w:pPr>
              <w:rPr>
                <w:rFonts w:ascii="Arial" w:hAnsi="Arial" w:cs="Arial"/>
                <w:b w:val="0"/>
                <w:bCs w:val="0"/>
              </w:rPr>
            </w:pPr>
            <w:r w:rsidRPr="0081711E">
              <w:rPr>
                <w:rFonts w:ascii="Arial" w:hAnsi="Arial" w:cs="Arial"/>
                <w:b w:val="0"/>
                <w:bCs w:val="0"/>
              </w:rPr>
              <w:t>The process of development of safety actions following a learning response is defined.</w:t>
            </w:r>
          </w:p>
        </w:tc>
        <w:tc>
          <w:tcPr>
            <w:tcW w:w="3686" w:type="dxa"/>
          </w:tcPr>
          <w:p w14:paraId="4014CDD1" w14:textId="77777777" w:rsidR="00C90698" w:rsidRPr="0081711E" w:rsidRDefault="00C90698" w:rsidP="00494A4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698" w:rsidRPr="0081711E" w14:paraId="482EB11B" w14:textId="77777777" w:rsidTr="0036088A">
        <w:tc>
          <w:tcPr>
            <w:cnfStyle w:val="001000000000" w:firstRow="0" w:lastRow="0" w:firstColumn="1" w:lastColumn="0" w:oddVBand="0" w:evenVBand="0" w:oddHBand="0" w:evenHBand="0" w:firstRowFirstColumn="0" w:firstRowLastColumn="0" w:lastRowFirstColumn="0" w:lastRowLastColumn="0"/>
            <w:tcW w:w="5240" w:type="dxa"/>
          </w:tcPr>
          <w:p w14:paraId="2562DA9B" w14:textId="77777777" w:rsidR="00C90698" w:rsidRPr="0081711E" w:rsidRDefault="00C90698" w:rsidP="00494A43">
            <w:pPr>
              <w:rPr>
                <w:rFonts w:ascii="Arial" w:hAnsi="Arial" w:cs="Arial"/>
                <w:b w:val="0"/>
                <w:bCs w:val="0"/>
              </w:rPr>
            </w:pPr>
            <w:r w:rsidRPr="0081711E">
              <w:rPr>
                <w:rFonts w:ascii="Arial" w:hAnsi="Arial" w:cs="Arial"/>
                <w:b w:val="0"/>
                <w:bCs w:val="0"/>
              </w:rPr>
              <w:t>The process to develop safety improvement plans is described, including where it is overseen.</w:t>
            </w:r>
          </w:p>
        </w:tc>
        <w:tc>
          <w:tcPr>
            <w:tcW w:w="3686" w:type="dxa"/>
          </w:tcPr>
          <w:p w14:paraId="5C692148" w14:textId="77777777" w:rsidR="00C90698" w:rsidRPr="0081711E" w:rsidRDefault="00C90698" w:rsidP="00494A4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698" w:rsidRPr="0081711E" w14:paraId="1821F42E" w14:textId="77777777" w:rsidTr="00360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424D2C81" w14:textId="77777777" w:rsidR="00C90698" w:rsidRPr="0081711E" w:rsidRDefault="00C90698" w:rsidP="00494A43">
            <w:pPr>
              <w:rPr>
                <w:rFonts w:ascii="Arial" w:hAnsi="Arial" w:cs="Arial"/>
                <w:b w:val="0"/>
                <w:bCs w:val="0"/>
              </w:rPr>
            </w:pPr>
            <w:r w:rsidRPr="0081711E">
              <w:rPr>
                <w:rFonts w:ascii="Arial" w:hAnsi="Arial" w:cs="Arial"/>
                <w:b w:val="0"/>
                <w:bCs w:val="0"/>
              </w:rPr>
              <w:t>Provider’s internal approach to oversight of Patient Safety should be defined – this should include evidence of collaboration &amp; involvement of ICB</w:t>
            </w:r>
          </w:p>
        </w:tc>
        <w:tc>
          <w:tcPr>
            <w:tcW w:w="3686" w:type="dxa"/>
          </w:tcPr>
          <w:p w14:paraId="25B12695" w14:textId="77777777" w:rsidR="00C90698" w:rsidRPr="0081711E" w:rsidRDefault="00C90698" w:rsidP="00494A4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698" w:rsidRPr="0081711E" w14:paraId="5218525B" w14:textId="77777777" w:rsidTr="0036088A">
        <w:tc>
          <w:tcPr>
            <w:cnfStyle w:val="001000000000" w:firstRow="0" w:lastRow="0" w:firstColumn="1" w:lastColumn="0" w:oddVBand="0" w:evenVBand="0" w:oddHBand="0" w:evenHBand="0" w:firstRowFirstColumn="0" w:firstRowLastColumn="0" w:lastRowFirstColumn="0" w:lastRowLastColumn="0"/>
            <w:tcW w:w="5240" w:type="dxa"/>
          </w:tcPr>
          <w:p w14:paraId="69A13837" w14:textId="77777777" w:rsidR="00C90698" w:rsidRPr="0081711E" w:rsidRDefault="00C90698" w:rsidP="00494A43">
            <w:pPr>
              <w:rPr>
                <w:rFonts w:ascii="Arial" w:hAnsi="Arial" w:cs="Arial"/>
                <w:b w:val="0"/>
                <w:bCs w:val="0"/>
              </w:rPr>
            </w:pPr>
            <w:r w:rsidRPr="0081711E">
              <w:rPr>
                <w:rFonts w:ascii="Arial" w:hAnsi="Arial" w:cs="Arial"/>
                <w:b w:val="0"/>
                <w:bCs w:val="0"/>
              </w:rPr>
              <w:t>Patient Safety Incident Response Standards are met.</w:t>
            </w:r>
          </w:p>
        </w:tc>
        <w:tc>
          <w:tcPr>
            <w:tcW w:w="3686" w:type="dxa"/>
          </w:tcPr>
          <w:p w14:paraId="68F675F6" w14:textId="77777777" w:rsidR="00C90698" w:rsidRPr="0081711E" w:rsidRDefault="00C90698" w:rsidP="00494A4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38CC0AFB" w14:textId="0E30A028" w:rsidR="00B13D2F" w:rsidRPr="006A6BB2" w:rsidRDefault="00B13D2F" w:rsidP="00E50A91">
      <w:pPr>
        <w:rPr>
          <w:rFonts w:ascii="Arial" w:eastAsiaTheme="majorEastAsia" w:hAnsi="Arial" w:cs="Arial"/>
          <w:b/>
          <w:bCs/>
          <w:sz w:val="24"/>
          <w:szCs w:val="24"/>
        </w:rPr>
      </w:pPr>
      <w:r w:rsidRPr="006A6BB2">
        <w:rPr>
          <w:rFonts w:ascii="Arial" w:eastAsiaTheme="majorEastAsia" w:hAnsi="Arial" w:cs="Arial"/>
          <w:b/>
          <w:bCs/>
          <w:sz w:val="24"/>
          <w:szCs w:val="24"/>
        </w:rPr>
        <w:lastRenderedPageBreak/>
        <w:t>Appendix 4</w:t>
      </w:r>
    </w:p>
    <w:p w14:paraId="2875AD54" w14:textId="3D4E2DD0" w:rsidR="00E50A91" w:rsidRPr="006A6BB2" w:rsidRDefault="00E50A91" w:rsidP="008A7185">
      <w:pPr>
        <w:ind w:right="-199"/>
        <w:rPr>
          <w:rFonts w:ascii="Arial" w:hAnsi="Arial" w:cs="Arial"/>
          <w:b/>
          <w:bCs/>
          <w:sz w:val="24"/>
          <w:szCs w:val="24"/>
        </w:rPr>
      </w:pPr>
      <w:r w:rsidRPr="006A6BB2">
        <w:rPr>
          <w:rFonts w:ascii="Arial" w:hAnsi="Arial" w:cs="Arial"/>
          <w:b/>
          <w:bCs/>
          <w:sz w:val="24"/>
          <w:szCs w:val="24"/>
        </w:rPr>
        <w:t xml:space="preserve">Equality </w:t>
      </w:r>
      <w:r w:rsidR="008A7185" w:rsidRPr="006A6BB2">
        <w:rPr>
          <w:rFonts w:ascii="Arial" w:hAnsi="Arial" w:cs="Arial"/>
          <w:b/>
          <w:bCs/>
          <w:sz w:val="24"/>
          <w:szCs w:val="24"/>
        </w:rPr>
        <w:t xml:space="preserve">Impact </w:t>
      </w:r>
      <w:r w:rsidRPr="006A6BB2">
        <w:rPr>
          <w:rFonts w:ascii="Arial" w:hAnsi="Arial" w:cs="Arial"/>
          <w:b/>
          <w:bCs/>
          <w:sz w:val="24"/>
          <w:szCs w:val="24"/>
        </w:rPr>
        <w:t>A</w:t>
      </w:r>
      <w:r w:rsidR="008A7185" w:rsidRPr="006A6BB2">
        <w:rPr>
          <w:rFonts w:ascii="Arial" w:hAnsi="Arial" w:cs="Arial"/>
          <w:b/>
          <w:bCs/>
          <w:sz w:val="24"/>
          <w:szCs w:val="24"/>
        </w:rPr>
        <w:t>ssessment and Health Inequality Impact Assessment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141"/>
      </w:tblGrid>
      <w:tr w:rsidR="008A7185" w:rsidRPr="0036088A" w14:paraId="73F9A5B7" w14:textId="77777777" w:rsidTr="0036088A">
        <w:tc>
          <w:tcPr>
            <w:tcW w:w="9180" w:type="dxa"/>
            <w:gridSpan w:val="2"/>
            <w:shd w:val="clear" w:color="auto" w:fill="auto"/>
          </w:tcPr>
          <w:p w14:paraId="3B5C70E1" w14:textId="77777777" w:rsidR="0036088A" w:rsidRDefault="008A7185" w:rsidP="001208EF">
            <w:pPr>
              <w:spacing w:before="120" w:after="120"/>
              <w:rPr>
                <w:rFonts w:ascii="Arial" w:hAnsi="Arial" w:cs="Arial"/>
                <w:b/>
              </w:rPr>
            </w:pPr>
            <w:r w:rsidRPr="0036088A">
              <w:rPr>
                <w:rFonts w:ascii="Arial" w:hAnsi="Arial" w:cs="Arial"/>
                <w:b/>
              </w:rPr>
              <w:t xml:space="preserve">Title of policy, service, proposal etc being assessed: </w:t>
            </w:r>
          </w:p>
          <w:p w14:paraId="07376A67" w14:textId="006EF292" w:rsidR="008A7185" w:rsidRPr="0036088A" w:rsidRDefault="0036088A" w:rsidP="001208EF">
            <w:pPr>
              <w:spacing w:before="120" w:after="120"/>
              <w:rPr>
                <w:rFonts w:ascii="Arial" w:hAnsi="Arial" w:cs="Arial"/>
              </w:rPr>
            </w:pPr>
            <w:r w:rsidRPr="0036088A">
              <w:rPr>
                <w:rFonts w:ascii="Arial" w:hAnsi="Arial" w:cs="Arial"/>
              </w:rPr>
              <w:t>Patient Safety Incident Reporting Framework (PSIRF) Policy</w:t>
            </w:r>
          </w:p>
        </w:tc>
      </w:tr>
      <w:tr w:rsidR="008A7185" w:rsidRPr="0036088A" w14:paraId="4CAF2B9F" w14:textId="77777777" w:rsidTr="003608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180" w:type="dxa"/>
            <w:gridSpan w:val="2"/>
          </w:tcPr>
          <w:p w14:paraId="7A0676CD" w14:textId="1FBDDDFC" w:rsidR="008B036C" w:rsidRPr="0036088A" w:rsidRDefault="008A7185" w:rsidP="001208EF">
            <w:pPr>
              <w:spacing w:before="120"/>
              <w:rPr>
                <w:rFonts w:ascii="Arial" w:hAnsi="Arial" w:cs="Arial"/>
                <w:color w:val="A6A6A6" w:themeColor="background1" w:themeShade="A6"/>
              </w:rPr>
            </w:pPr>
            <w:r w:rsidRPr="0036088A">
              <w:rPr>
                <w:rFonts w:ascii="Arial" w:hAnsi="Arial" w:cs="Arial"/>
                <w:b/>
              </w:rPr>
              <w:t xml:space="preserve">What are the intended outcomes of this work? </w:t>
            </w:r>
          </w:p>
          <w:p w14:paraId="772C090B" w14:textId="37C3DD49" w:rsidR="008A7185" w:rsidRPr="0036088A" w:rsidRDefault="008B036C" w:rsidP="001208EF">
            <w:pPr>
              <w:spacing w:before="120"/>
              <w:rPr>
                <w:rFonts w:ascii="Arial" w:hAnsi="Arial" w:cs="Arial"/>
              </w:rPr>
            </w:pPr>
            <w:r w:rsidRPr="0036088A">
              <w:rPr>
                <w:rFonts w:ascii="Arial" w:hAnsi="Arial" w:cs="Arial"/>
              </w:rPr>
              <w:t xml:space="preserve">The key outcome for this policy is the introduction of the PSIRF framework across the HWE system </w:t>
            </w:r>
            <w:r w:rsidR="00456A71" w:rsidRPr="0036088A">
              <w:rPr>
                <w:rFonts w:ascii="Arial" w:hAnsi="Arial" w:cs="Arial"/>
              </w:rPr>
              <w:t>for</w:t>
            </w:r>
            <w:r w:rsidRPr="0036088A">
              <w:rPr>
                <w:rFonts w:ascii="Arial" w:hAnsi="Arial" w:cs="Arial"/>
              </w:rPr>
              <w:t xml:space="preserve"> all Providers that deliver</w:t>
            </w:r>
            <w:r w:rsidR="00456A71" w:rsidRPr="0036088A">
              <w:rPr>
                <w:rFonts w:ascii="Arial" w:hAnsi="Arial" w:cs="Arial"/>
              </w:rPr>
              <w:t xml:space="preserve"> services under the NHS Standard Contract. </w:t>
            </w:r>
            <w:r w:rsidRPr="0036088A">
              <w:rPr>
                <w:rFonts w:ascii="Arial" w:hAnsi="Arial" w:cs="Arial"/>
              </w:rPr>
              <w:t xml:space="preserve"> </w:t>
            </w:r>
            <w:r w:rsidR="00456A71" w:rsidRPr="0036088A">
              <w:rPr>
                <w:rFonts w:ascii="Arial" w:hAnsi="Arial" w:cs="Arial"/>
              </w:rPr>
              <w:t>It is anticipated that PISRF will be rolled out to primary care over the next 12-18 months.</w:t>
            </w:r>
          </w:p>
          <w:p w14:paraId="68E8F941" w14:textId="5ED8F312" w:rsidR="008A7185" w:rsidRPr="0036088A" w:rsidRDefault="008B036C" w:rsidP="001208EF">
            <w:pPr>
              <w:spacing w:before="120"/>
              <w:rPr>
                <w:rFonts w:ascii="Arial" w:hAnsi="Arial" w:cs="Arial"/>
              </w:rPr>
            </w:pPr>
            <w:r w:rsidRPr="0036088A">
              <w:rPr>
                <w:rFonts w:ascii="Arial" w:hAnsi="Arial" w:cs="Arial"/>
              </w:rPr>
              <w:t>In addition</w:t>
            </w:r>
            <w:r w:rsidR="00456A71" w:rsidRPr="0036088A">
              <w:rPr>
                <w:rFonts w:ascii="Arial" w:hAnsi="Arial" w:cs="Arial"/>
              </w:rPr>
              <w:t>,</w:t>
            </w:r>
            <w:r w:rsidRPr="0036088A">
              <w:rPr>
                <w:rFonts w:ascii="Arial" w:hAnsi="Arial" w:cs="Arial"/>
              </w:rPr>
              <w:t xml:space="preserve"> </w:t>
            </w:r>
            <w:r w:rsidR="00456A71" w:rsidRPr="0036088A">
              <w:rPr>
                <w:rFonts w:ascii="Arial" w:hAnsi="Arial" w:cs="Arial"/>
              </w:rPr>
              <w:t>the policy outlines</w:t>
            </w:r>
            <w:r w:rsidRPr="0036088A">
              <w:rPr>
                <w:rFonts w:ascii="Arial" w:hAnsi="Arial" w:cs="Arial"/>
              </w:rPr>
              <w:t xml:space="preserve"> the role of the ICB in supporting the system and providing oversight of individual providers</w:t>
            </w:r>
            <w:r w:rsidR="00456A71" w:rsidRPr="0036088A">
              <w:rPr>
                <w:rFonts w:ascii="Arial" w:hAnsi="Arial" w:cs="Arial"/>
              </w:rPr>
              <w:t>’</w:t>
            </w:r>
            <w:r w:rsidRPr="0036088A">
              <w:rPr>
                <w:rFonts w:ascii="Arial" w:hAnsi="Arial" w:cs="Arial"/>
              </w:rPr>
              <w:t xml:space="preserve"> PSIRF processes and align</w:t>
            </w:r>
            <w:r w:rsidR="00456A71" w:rsidRPr="0036088A">
              <w:rPr>
                <w:rFonts w:ascii="Arial" w:hAnsi="Arial" w:cs="Arial"/>
              </w:rPr>
              <w:t>ing</w:t>
            </w:r>
            <w:r w:rsidRPr="0036088A">
              <w:rPr>
                <w:rFonts w:ascii="Arial" w:hAnsi="Arial" w:cs="Arial"/>
              </w:rPr>
              <w:t xml:space="preserve"> these to the National Patient Safety Strategy</w:t>
            </w:r>
            <w:r w:rsidR="00456A71" w:rsidRPr="0036088A">
              <w:rPr>
                <w:rFonts w:ascii="Arial" w:hAnsi="Arial" w:cs="Arial"/>
              </w:rPr>
              <w:t>.</w:t>
            </w:r>
            <w:r w:rsidRPr="0036088A">
              <w:rPr>
                <w:rFonts w:ascii="Arial" w:hAnsi="Arial" w:cs="Arial"/>
              </w:rPr>
              <w:t xml:space="preserve"> </w:t>
            </w:r>
          </w:p>
        </w:tc>
      </w:tr>
      <w:tr w:rsidR="008A7185" w:rsidRPr="0036088A" w14:paraId="26F16E4B" w14:textId="77777777" w:rsidTr="003608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180" w:type="dxa"/>
            <w:gridSpan w:val="2"/>
          </w:tcPr>
          <w:p w14:paraId="77295A03" w14:textId="052B4ADE" w:rsidR="008A7185" w:rsidRPr="0036088A" w:rsidRDefault="008A7185" w:rsidP="001208EF">
            <w:pPr>
              <w:spacing w:before="120"/>
              <w:rPr>
                <w:rFonts w:ascii="Arial" w:hAnsi="Arial" w:cs="Arial"/>
                <w:color w:val="A6A6A6" w:themeColor="background1" w:themeShade="A6"/>
              </w:rPr>
            </w:pPr>
            <w:r w:rsidRPr="0036088A">
              <w:rPr>
                <w:rFonts w:ascii="Arial" w:hAnsi="Arial" w:cs="Arial"/>
                <w:b/>
              </w:rPr>
              <w:t xml:space="preserve">How will these outcomes be achieved? </w:t>
            </w:r>
          </w:p>
          <w:p w14:paraId="086F0A79" w14:textId="68D56D8F" w:rsidR="008A7185" w:rsidRPr="0036088A" w:rsidRDefault="008B036C" w:rsidP="001208EF">
            <w:pPr>
              <w:spacing w:before="120"/>
              <w:rPr>
                <w:rFonts w:ascii="Arial" w:hAnsi="Arial" w:cs="Arial"/>
              </w:rPr>
            </w:pPr>
            <w:r w:rsidRPr="0036088A">
              <w:rPr>
                <w:rFonts w:ascii="Arial" w:hAnsi="Arial" w:cs="Arial"/>
              </w:rPr>
              <w:t xml:space="preserve">These outcomes will be achieved by working with and supporting all Providers in developing their PSIRF plans and individual policies and their implementation. </w:t>
            </w:r>
            <w:r w:rsidR="00456A71" w:rsidRPr="0036088A">
              <w:rPr>
                <w:rFonts w:ascii="Arial" w:hAnsi="Arial" w:cs="Arial"/>
              </w:rPr>
              <w:t>Furthermore,</w:t>
            </w:r>
            <w:r w:rsidRPr="0036088A">
              <w:rPr>
                <w:rFonts w:ascii="Arial" w:hAnsi="Arial" w:cs="Arial"/>
              </w:rPr>
              <w:t xml:space="preserve"> it will be about ensuring we have oversight of Patient safety across the HWE system. </w:t>
            </w:r>
          </w:p>
        </w:tc>
      </w:tr>
      <w:tr w:rsidR="008A7185" w:rsidRPr="0036088A" w14:paraId="50521008" w14:textId="77777777" w:rsidTr="003608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180" w:type="dxa"/>
            <w:gridSpan w:val="2"/>
          </w:tcPr>
          <w:p w14:paraId="1720FEC7" w14:textId="02C023CD" w:rsidR="008A7185" w:rsidRPr="0036088A" w:rsidRDefault="008A7185" w:rsidP="001208EF">
            <w:pPr>
              <w:rPr>
                <w:rFonts w:ascii="Arial" w:hAnsi="Arial" w:cs="Arial"/>
              </w:rPr>
            </w:pPr>
            <w:r w:rsidRPr="0036088A">
              <w:rPr>
                <w:rFonts w:ascii="Arial" w:hAnsi="Arial" w:cs="Arial"/>
                <w:b/>
              </w:rPr>
              <w:t xml:space="preserve">Who will be affected by this work? </w:t>
            </w:r>
          </w:p>
          <w:p w14:paraId="67DACF5D" w14:textId="41422456" w:rsidR="008A7185" w:rsidRPr="0036088A" w:rsidRDefault="008B036C" w:rsidP="0036088A">
            <w:pPr>
              <w:rPr>
                <w:rFonts w:ascii="Arial" w:hAnsi="Arial" w:cs="Arial"/>
              </w:rPr>
            </w:pPr>
            <w:r w:rsidRPr="0036088A">
              <w:rPr>
                <w:rFonts w:ascii="Arial" w:hAnsi="Arial" w:cs="Arial"/>
              </w:rPr>
              <w:t xml:space="preserve">Patients, carers, </w:t>
            </w:r>
            <w:proofErr w:type="gramStart"/>
            <w:r w:rsidRPr="0036088A">
              <w:rPr>
                <w:rFonts w:ascii="Arial" w:hAnsi="Arial" w:cs="Arial"/>
              </w:rPr>
              <w:t>families</w:t>
            </w:r>
            <w:proofErr w:type="gramEnd"/>
            <w:r w:rsidR="00456A71" w:rsidRPr="0036088A">
              <w:rPr>
                <w:rFonts w:ascii="Arial" w:hAnsi="Arial" w:cs="Arial"/>
              </w:rPr>
              <w:t xml:space="preserve"> and</w:t>
            </w:r>
            <w:r w:rsidRPr="0036088A">
              <w:rPr>
                <w:rFonts w:ascii="Arial" w:hAnsi="Arial" w:cs="Arial"/>
              </w:rPr>
              <w:t xml:space="preserve"> staff.</w:t>
            </w:r>
          </w:p>
        </w:tc>
      </w:tr>
      <w:tr w:rsidR="008A7185" w:rsidRPr="0036088A" w14:paraId="1A53282F" w14:textId="77777777" w:rsidTr="003608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180" w:type="dxa"/>
            <w:gridSpan w:val="2"/>
            <w:tcBorders>
              <w:left w:val="nil"/>
              <w:right w:val="nil"/>
            </w:tcBorders>
          </w:tcPr>
          <w:p w14:paraId="773DD64C" w14:textId="77777777" w:rsidR="008A7185" w:rsidRPr="0036088A" w:rsidRDefault="008A7185" w:rsidP="001208EF">
            <w:pPr>
              <w:rPr>
                <w:rFonts w:ascii="Arial" w:hAnsi="Arial" w:cs="Arial"/>
                <w:b/>
              </w:rPr>
            </w:pPr>
          </w:p>
        </w:tc>
      </w:tr>
      <w:tr w:rsidR="008A7185" w:rsidRPr="0036088A" w14:paraId="48A1D1E4" w14:textId="77777777" w:rsidTr="003608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07"/>
        </w:trPr>
        <w:tc>
          <w:tcPr>
            <w:tcW w:w="9180" w:type="dxa"/>
            <w:gridSpan w:val="2"/>
          </w:tcPr>
          <w:p w14:paraId="03394F3F" w14:textId="77777777" w:rsidR="008A7185" w:rsidRPr="0036088A" w:rsidRDefault="008A7185" w:rsidP="001208EF">
            <w:pPr>
              <w:spacing w:before="120"/>
              <w:rPr>
                <w:rFonts w:ascii="Arial" w:hAnsi="Arial" w:cs="Arial"/>
                <w:b/>
                <w:bCs/>
              </w:rPr>
            </w:pPr>
            <w:r w:rsidRPr="0036088A">
              <w:rPr>
                <w:rStyle w:val="DHSecondaryHeadingOneChar"/>
                <w:rFonts w:cs="Arial"/>
                <w:b/>
                <w:bCs/>
                <w:color w:val="0072C6"/>
                <w:sz w:val="22"/>
              </w:rPr>
              <w:t>Evidence</w:t>
            </w:r>
            <w:r w:rsidRPr="0036088A">
              <w:rPr>
                <w:rFonts w:ascii="Arial" w:hAnsi="Arial" w:cs="Arial"/>
                <w:b/>
                <w:bCs/>
              </w:rPr>
              <w:t xml:space="preserve"> </w:t>
            </w:r>
          </w:p>
        </w:tc>
      </w:tr>
      <w:tr w:rsidR="008A7185" w:rsidRPr="0036088A" w14:paraId="21EDB1EB" w14:textId="77777777" w:rsidTr="003608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455"/>
        </w:trPr>
        <w:tc>
          <w:tcPr>
            <w:tcW w:w="9180" w:type="dxa"/>
            <w:gridSpan w:val="2"/>
          </w:tcPr>
          <w:p w14:paraId="02FE05E7" w14:textId="1E5F5FB9" w:rsidR="008A7185" w:rsidRPr="0036088A" w:rsidRDefault="008A7185" w:rsidP="001208EF">
            <w:pPr>
              <w:rPr>
                <w:rFonts w:ascii="Arial" w:hAnsi="Arial" w:cs="Arial"/>
                <w:color w:val="A6A6A6" w:themeColor="background1" w:themeShade="A6"/>
              </w:rPr>
            </w:pPr>
            <w:r w:rsidRPr="0036088A">
              <w:rPr>
                <w:rStyle w:val="DHSecondaryHeadingOneChar"/>
                <w:rFonts w:cs="Arial"/>
                <w:b/>
                <w:bCs/>
                <w:color w:val="0072C6"/>
                <w:sz w:val="22"/>
              </w:rPr>
              <w:t>Impact Assessment Not Required</w:t>
            </w:r>
            <w:r w:rsidRPr="0036088A">
              <w:rPr>
                <w:rStyle w:val="DHSecondaryHeadingOneChar"/>
                <w:rFonts w:cs="Arial"/>
                <w:color w:val="0072C6"/>
                <w:sz w:val="22"/>
              </w:rPr>
              <w:t xml:space="preserve"> </w:t>
            </w:r>
          </w:p>
          <w:p w14:paraId="267B0CF3" w14:textId="77777777" w:rsidR="008A7185" w:rsidRPr="0036088A" w:rsidRDefault="009140E8" w:rsidP="001208EF">
            <w:pPr>
              <w:rPr>
                <w:rFonts w:ascii="Arial" w:hAnsi="Arial" w:cs="Arial"/>
              </w:rPr>
            </w:pPr>
            <w:r w:rsidRPr="0036088A">
              <w:rPr>
                <w:rFonts w:ascii="Arial" w:hAnsi="Arial" w:cs="Arial"/>
              </w:rPr>
              <w:t xml:space="preserve">We are fully implementing the new national PSIRF framework and standards in line with the national policy template </w:t>
            </w:r>
            <w:r w:rsidR="00456A71" w:rsidRPr="0036088A">
              <w:rPr>
                <w:rFonts w:ascii="Arial" w:hAnsi="Arial" w:cs="Arial"/>
              </w:rPr>
              <w:t>and national PSIRF standards without local deviation. Therefore,</w:t>
            </w:r>
            <w:r w:rsidRPr="0036088A">
              <w:rPr>
                <w:rFonts w:ascii="Arial" w:hAnsi="Arial" w:cs="Arial"/>
              </w:rPr>
              <w:t xml:space="preserve"> no local </w:t>
            </w:r>
            <w:r w:rsidR="00456A71" w:rsidRPr="0036088A">
              <w:rPr>
                <w:rFonts w:ascii="Arial" w:hAnsi="Arial" w:cs="Arial"/>
              </w:rPr>
              <w:t xml:space="preserve">impact </w:t>
            </w:r>
            <w:r w:rsidRPr="0036088A">
              <w:rPr>
                <w:rFonts w:ascii="Arial" w:hAnsi="Arial" w:cs="Arial"/>
              </w:rPr>
              <w:t>assessment is required.</w:t>
            </w:r>
          </w:p>
          <w:p w14:paraId="663532E0" w14:textId="41F0A7D3" w:rsidR="00456A71" w:rsidRPr="0036088A" w:rsidRDefault="00456A71" w:rsidP="001208EF">
            <w:pPr>
              <w:rPr>
                <w:rStyle w:val="DHSecondaryHeadingOneChar"/>
                <w:rFonts w:cs="Arial"/>
                <w:color w:val="auto"/>
                <w:sz w:val="22"/>
              </w:rPr>
            </w:pPr>
            <w:r w:rsidRPr="0036088A">
              <w:rPr>
                <w:rStyle w:val="DHSecondaryHeadingOneChar"/>
                <w:rFonts w:cs="Arial"/>
                <w:color w:val="auto"/>
                <w:sz w:val="22"/>
              </w:rPr>
              <w:t xml:space="preserve">The ICB will continue to monitor progress in relation to PISRF to understand any positive or negative impact relating to inequalities; the national framework is expected to support reduction in inequalities for patients and staff. </w:t>
            </w:r>
          </w:p>
        </w:tc>
      </w:tr>
      <w:tr w:rsidR="008A7185" w:rsidRPr="0036088A" w14:paraId="063FCD61" w14:textId="77777777" w:rsidTr="003608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41" w:type="dxa"/>
        </w:trPr>
        <w:tc>
          <w:tcPr>
            <w:tcW w:w="9039" w:type="dxa"/>
            <w:tcBorders>
              <w:top w:val="nil"/>
              <w:left w:val="nil"/>
              <w:right w:val="nil"/>
            </w:tcBorders>
            <w:shd w:val="clear" w:color="auto" w:fill="auto"/>
          </w:tcPr>
          <w:p w14:paraId="3CC254E6" w14:textId="77777777" w:rsidR="008A7185" w:rsidRPr="0036088A" w:rsidRDefault="008A7185" w:rsidP="001208EF">
            <w:pPr>
              <w:rPr>
                <w:rFonts w:ascii="Arial" w:hAnsi="Arial" w:cs="Arial"/>
              </w:rPr>
            </w:pPr>
            <w:r w:rsidRPr="0036088A">
              <w:rPr>
                <w:rFonts w:ascii="Arial" w:hAnsi="Arial" w:cs="Arial"/>
              </w:rPr>
              <w:br w:type="page"/>
            </w:r>
          </w:p>
        </w:tc>
      </w:tr>
      <w:tr w:rsidR="008A7185" w:rsidRPr="0036088A" w14:paraId="117CC8E1" w14:textId="77777777" w:rsidTr="003608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41" w:type="dxa"/>
          <w:trHeight w:val="938"/>
        </w:trPr>
        <w:tc>
          <w:tcPr>
            <w:tcW w:w="9039" w:type="dxa"/>
            <w:shd w:val="clear" w:color="auto" w:fill="auto"/>
          </w:tcPr>
          <w:p w14:paraId="58B6C333" w14:textId="77777777" w:rsidR="008A7185" w:rsidRPr="0036088A" w:rsidRDefault="008A7185" w:rsidP="0036088A">
            <w:pPr>
              <w:rPr>
                <w:rStyle w:val="DHSecondaryHeadingOneChar"/>
                <w:b/>
                <w:color w:val="0072C6"/>
                <w:sz w:val="22"/>
              </w:rPr>
            </w:pPr>
            <w:r w:rsidRPr="0036088A">
              <w:rPr>
                <w:rStyle w:val="DHSecondaryHeadingOneChar"/>
                <w:b/>
                <w:color w:val="0072C6"/>
                <w:sz w:val="22"/>
              </w:rPr>
              <w:t>For your records</w:t>
            </w:r>
          </w:p>
          <w:p w14:paraId="766B67DF" w14:textId="174A9F33" w:rsidR="008A7185" w:rsidRPr="00351A2D" w:rsidRDefault="008A7185" w:rsidP="00351A2D">
            <w:pPr>
              <w:spacing w:before="60" w:after="60"/>
              <w:rPr>
                <w:rFonts w:ascii="Arial" w:hAnsi="Arial" w:cs="Arial"/>
              </w:rPr>
            </w:pPr>
            <w:r w:rsidRPr="0036088A">
              <w:rPr>
                <w:rFonts w:ascii="Arial" w:hAnsi="Arial" w:cs="Arial"/>
                <w:b/>
              </w:rPr>
              <w:t>Name of person(s) who carried out these analyses:</w:t>
            </w:r>
            <w:r w:rsidR="00456A71" w:rsidRPr="0036088A">
              <w:rPr>
                <w:rFonts w:ascii="Arial" w:hAnsi="Arial" w:cs="Arial"/>
                <w:b/>
              </w:rPr>
              <w:t xml:space="preserve"> </w:t>
            </w:r>
            <w:r w:rsidR="00351A2D" w:rsidRPr="00425364">
              <w:rPr>
                <w:rFonts w:ascii="Arial" w:hAnsi="Arial" w:cs="Arial"/>
              </w:rPr>
              <w:t>Chris Harvey, Assistant Director Nursing and Quality (ICB Deputy Patient Safety Specialist)</w:t>
            </w:r>
          </w:p>
        </w:tc>
      </w:tr>
      <w:tr w:rsidR="008A7185" w:rsidRPr="0036088A" w14:paraId="74159863" w14:textId="77777777" w:rsidTr="003608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41" w:type="dxa"/>
          <w:trHeight w:val="413"/>
        </w:trPr>
        <w:tc>
          <w:tcPr>
            <w:tcW w:w="9039" w:type="dxa"/>
            <w:shd w:val="clear" w:color="auto" w:fill="auto"/>
          </w:tcPr>
          <w:p w14:paraId="7B3324BE" w14:textId="25C580E3" w:rsidR="008A7185" w:rsidRPr="0036088A" w:rsidRDefault="008A7185" w:rsidP="0036088A">
            <w:pPr>
              <w:rPr>
                <w:rFonts w:ascii="Arial" w:hAnsi="Arial" w:cs="Arial"/>
                <w:b/>
              </w:rPr>
            </w:pPr>
            <w:r w:rsidRPr="0036088A">
              <w:rPr>
                <w:rFonts w:ascii="Arial" w:hAnsi="Arial" w:cs="Arial"/>
                <w:b/>
              </w:rPr>
              <w:t xml:space="preserve">Date analyses were completed: </w:t>
            </w:r>
            <w:r w:rsidR="00351A2D" w:rsidRPr="00351A2D">
              <w:rPr>
                <w:rFonts w:ascii="Arial" w:hAnsi="Arial" w:cs="Arial"/>
                <w:bCs/>
              </w:rPr>
              <w:t>16/08/2023</w:t>
            </w:r>
          </w:p>
        </w:tc>
      </w:tr>
      <w:tr w:rsidR="008A7185" w:rsidRPr="0036088A" w14:paraId="7B29DBE3" w14:textId="77777777" w:rsidTr="003608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41" w:type="dxa"/>
          <w:trHeight w:val="455"/>
        </w:trPr>
        <w:tc>
          <w:tcPr>
            <w:tcW w:w="9039" w:type="dxa"/>
            <w:shd w:val="clear" w:color="auto" w:fill="auto"/>
          </w:tcPr>
          <w:p w14:paraId="1345E333" w14:textId="77777777" w:rsidR="008A7185" w:rsidRPr="0036088A" w:rsidRDefault="008A7185" w:rsidP="0036088A">
            <w:pPr>
              <w:rPr>
                <w:rFonts w:ascii="Arial" w:hAnsi="Arial" w:cs="Arial"/>
                <w:b/>
                <w:bCs/>
              </w:rPr>
            </w:pPr>
            <w:r w:rsidRPr="0036088A">
              <w:rPr>
                <w:rStyle w:val="DHSecondaryHeadingOneChar"/>
                <w:b/>
                <w:bCs/>
                <w:color w:val="0072C6"/>
                <w:sz w:val="22"/>
              </w:rPr>
              <w:t>Equality and Diversity Lead Sign off</w:t>
            </w:r>
          </w:p>
        </w:tc>
      </w:tr>
      <w:tr w:rsidR="008A7185" w:rsidRPr="0036088A" w14:paraId="7589F700" w14:textId="77777777" w:rsidTr="003608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41" w:type="dxa"/>
        </w:trPr>
        <w:tc>
          <w:tcPr>
            <w:tcW w:w="9039" w:type="dxa"/>
            <w:shd w:val="clear" w:color="auto" w:fill="auto"/>
          </w:tcPr>
          <w:p w14:paraId="0FE594CB" w14:textId="59523227" w:rsidR="008A7185" w:rsidRPr="0036088A" w:rsidRDefault="00456A71" w:rsidP="0036088A">
            <w:pPr>
              <w:spacing w:before="120"/>
              <w:rPr>
                <w:rFonts w:ascii="Arial" w:hAnsi="Arial" w:cs="Arial"/>
              </w:rPr>
            </w:pPr>
            <w:r w:rsidRPr="0036088A">
              <w:rPr>
                <w:rFonts w:ascii="Arial" w:hAnsi="Arial" w:cs="Arial"/>
              </w:rPr>
              <w:t xml:space="preserve">Confirmation received from Paul Curry that no local impact assessment is required where a national policy is being adopted without local interpretation. </w:t>
            </w:r>
            <w:r w:rsidR="00351A2D">
              <w:rPr>
                <w:rFonts w:ascii="Arial" w:hAnsi="Arial" w:cs="Arial"/>
              </w:rPr>
              <w:t>23/08/2023</w:t>
            </w:r>
          </w:p>
        </w:tc>
      </w:tr>
      <w:bookmarkEnd w:id="11"/>
    </w:tbl>
    <w:p w14:paraId="5B0D3BB3" w14:textId="77777777" w:rsidR="008A7185" w:rsidRPr="0036088A" w:rsidRDefault="008A7185" w:rsidP="00E50A91">
      <w:pPr>
        <w:rPr>
          <w:rFonts w:ascii="Arial" w:hAnsi="Arial" w:cs="Arial"/>
          <w:b/>
          <w:bCs/>
          <w:color w:val="365F91" w:themeColor="accent1" w:themeShade="BF"/>
        </w:rPr>
      </w:pPr>
    </w:p>
    <w:sectPr w:rsidR="008A7185" w:rsidRPr="0036088A" w:rsidSect="0036088A">
      <w:headerReference w:type="default" r:id="rId15"/>
      <w:footerReference w:type="default" r:id="rId16"/>
      <w:footerReference w:type="first" r:id="rId17"/>
      <w:type w:val="continuous"/>
      <w:pgSz w:w="11906" w:h="16838" w:code="9"/>
      <w:pgMar w:top="1440" w:right="1797" w:bottom="1440" w:left="1797" w:header="709" w:footer="5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21E02" w14:textId="77777777" w:rsidR="00472351" w:rsidRDefault="00472351">
      <w:r>
        <w:separator/>
      </w:r>
    </w:p>
  </w:endnote>
  <w:endnote w:type="continuationSeparator" w:id="0">
    <w:p w14:paraId="43DDFD04" w14:textId="77777777" w:rsidR="00472351" w:rsidRDefault="00472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4326" w14:textId="59E1AD6F" w:rsidR="00722A82" w:rsidRPr="00425364" w:rsidRDefault="006500BE" w:rsidP="00425364">
    <w:pPr>
      <w:pStyle w:val="Footer"/>
      <w:spacing w:after="0"/>
      <w:rPr>
        <w:rFonts w:ascii="Arial" w:hAnsi="Arial" w:cs="Arial"/>
        <w:sz w:val="16"/>
        <w:szCs w:val="16"/>
      </w:rPr>
    </w:pPr>
    <w:r w:rsidRPr="00425364">
      <w:rPr>
        <w:rFonts w:ascii="Arial" w:hAnsi="Arial" w:cs="Arial"/>
        <w:noProof/>
        <w:sz w:val="16"/>
        <w:szCs w:val="16"/>
      </w:rPr>
      <w:drawing>
        <wp:anchor distT="0" distB="0" distL="114300" distR="114300" simplePos="0" relativeHeight="251656704" behindDoc="0" locked="0" layoutInCell="1" allowOverlap="1" wp14:anchorId="612E3928" wp14:editId="34D9F806">
          <wp:simplePos x="0" y="0"/>
          <wp:positionH relativeFrom="page">
            <wp:posOffset>-40005</wp:posOffset>
          </wp:positionH>
          <wp:positionV relativeFrom="paragraph">
            <wp:posOffset>342265</wp:posOffset>
          </wp:positionV>
          <wp:extent cx="7533005" cy="525780"/>
          <wp:effectExtent l="0" t="0" r="0" b="0"/>
          <wp:wrapNone/>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b="63247"/>
                  <a:stretch/>
                </pic:blipFill>
                <pic:spPr bwMode="auto">
                  <a:xfrm>
                    <a:off x="0" y="0"/>
                    <a:ext cx="7533005" cy="525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5364">
      <w:rPr>
        <w:rFonts w:ascii="Arial" w:hAnsi="Arial" w:cs="Arial"/>
        <w:sz w:val="16"/>
        <w:szCs w:val="16"/>
      </w:rPr>
      <w:t xml:space="preserve">   </w:t>
    </w:r>
    <w:r w:rsidR="007029DD" w:rsidRPr="00425364">
      <w:rPr>
        <w:rFonts w:ascii="Arial" w:hAnsi="Arial" w:cs="Arial"/>
        <w:sz w:val="16"/>
        <w:szCs w:val="16"/>
      </w:rPr>
      <w:t>PSIRF POLICY V1.0</w:t>
    </w:r>
  </w:p>
  <w:tbl>
    <w:tblPr>
      <w:tblStyle w:val="TableGrid"/>
      <w:tblW w:w="850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7"/>
      <w:gridCol w:w="1508"/>
    </w:tblGrid>
    <w:tr w:rsidR="00722A82" w:rsidRPr="00425364" w14:paraId="39596D61" w14:textId="77777777" w:rsidTr="00083C08">
      <w:tc>
        <w:tcPr>
          <w:tcW w:w="6997" w:type="dxa"/>
        </w:tcPr>
        <w:p w14:paraId="2B58DFAA" w14:textId="44F321A3" w:rsidR="00722A82" w:rsidRPr="00425364" w:rsidRDefault="00F54533" w:rsidP="007B7A90">
          <w:pPr>
            <w:pStyle w:val="Footer"/>
            <w:rPr>
              <w:rFonts w:ascii="Arial" w:hAnsi="Arial" w:cs="Arial"/>
              <w:sz w:val="16"/>
              <w:szCs w:val="16"/>
            </w:rPr>
          </w:pPr>
          <w:r w:rsidRPr="00425364">
            <w:rPr>
              <w:rFonts w:ascii="Arial" w:hAnsi="Arial" w:cs="Arial"/>
              <w:sz w:val="16"/>
              <w:szCs w:val="16"/>
            </w:rPr>
            <w:t>Hertfordshire and West Essex Integrated Care Board</w:t>
          </w:r>
        </w:p>
      </w:tc>
      <w:tc>
        <w:tcPr>
          <w:tcW w:w="1508" w:type="dxa"/>
        </w:tcPr>
        <w:sdt>
          <w:sdtPr>
            <w:rPr>
              <w:rFonts w:ascii="Arial" w:hAnsi="Arial" w:cs="Arial"/>
              <w:sz w:val="16"/>
              <w:szCs w:val="16"/>
            </w:rPr>
            <w:id w:val="-1318336367"/>
            <w:docPartObj>
              <w:docPartGallery w:val="Page Numbers (Top of Page)"/>
              <w:docPartUnique/>
            </w:docPartObj>
          </w:sdtPr>
          <w:sdtEndPr/>
          <w:sdtContent>
            <w:p w14:paraId="2F10FA27" w14:textId="06A729EE" w:rsidR="00722A82" w:rsidRPr="00425364" w:rsidRDefault="00335B32" w:rsidP="00335B32">
              <w:pPr>
                <w:pStyle w:val="Header"/>
                <w:jc w:val="right"/>
                <w:rPr>
                  <w:rFonts w:ascii="Arial" w:hAnsi="Arial" w:cs="Arial"/>
                  <w:sz w:val="16"/>
                  <w:szCs w:val="16"/>
                </w:rPr>
              </w:pPr>
              <w:r w:rsidRPr="00425364">
                <w:rPr>
                  <w:rFonts w:ascii="Arial" w:hAnsi="Arial" w:cs="Arial"/>
                  <w:sz w:val="16"/>
                  <w:szCs w:val="16"/>
                </w:rPr>
                <w:t xml:space="preserve">Page </w:t>
              </w:r>
              <w:r w:rsidRPr="00425364">
                <w:rPr>
                  <w:rFonts w:ascii="Arial" w:hAnsi="Arial" w:cs="Arial"/>
                  <w:b/>
                  <w:bCs/>
                  <w:sz w:val="16"/>
                  <w:szCs w:val="16"/>
                </w:rPr>
                <w:fldChar w:fldCharType="begin"/>
              </w:r>
              <w:r w:rsidRPr="00425364">
                <w:rPr>
                  <w:rFonts w:ascii="Arial" w:hAnsi="Arial" w:cs="Arial"/>
                  <w:b/>
                  <w:bCs/>
                  <w:sz w:val="16"/>
                  <w:szCs w:val="16"/>
                </w:rPr>
                <w:instrText xml:space="preserve"> PAGE </w:instrText>
              </w:r>
              <w:r w:rsidRPr="00425364">
                <w:rPr>
                  <w:rFonts w:ascii="Arial" w:hAnsi="Arial" w:cs="Arial"/>
                  <w:b/>
                  <w:bCs/>
                  <w:sz w:val="16"/>
                  <w:szCs w:val="16"/>
                </w:rPr>
                <w:fldChar w:fldCharType="separate"/>
              </w:r>
              <w:r w:rsidRPr="00425364">
                <w:rPr>
                  <w:rFonts w:ascii="Arial" w:hAnsi="Arial" w:cs="Arial"/>
                  <w:b/>
                  <w:bCs/>
                  <w:sz w:val="16"/>
                  <w:szCs w:val="16"/>
                </w:rPr>
                <w:t>1</w:t>
              </w:r>
              <w:r w:rsidRPr="00425364">
                <w:rPr>
                  <w:rFonts w:ascii="Arial" w:hAnsi="Arial" w:cs="Arial"/>
                  <w:b/>
                  <w:bCs/>
                  <w:sz w:val="16"/>
                  <w:szCs w:val="16"/>
                </w:rPr>
                <w:fldChar w:fldCharType="end"/>
              </w:r>
              <w:r w:rsidRPr="00425364">
                <w:rPr>
                  <w:rFonts w:ascii="Arial" w:hAnsi="Arial" w:cs="Arial"/>
                  <w:sz w:val="16"/>
                  <w:szCs w:val="16"/>
                </w:rPr>
                <w:t xml:space="preserve"> of </w:t>
              </w:r>
              <w:r w:rsidRPr="00425364">
                <w:rPr>
                  <w:rFonts w:ascii="Arial" w:hAnsi="Arial" w:cs="Arial"/>
                  <w:b/>
                  <w:bCs/>
                  <w:sz w:val="16"/>
                  <w:szCs w:val="16"/>
                </w:rPr>
                <w:fldChar w:fldCharType="begin"/>
              </w:r>
              <w:r w:rsidRPr="00425364">
                <w:rPr>
                  <w:rFonts w:ascii="Arial" w:hAnsi="Arial" w:cs="Arial"/>
                  <w:b/>
                  <w:bCs/>
                  <w:sz w:val="16"/>
                  <w:szCs w:val="16"/>
                </w:rPr>
                <w:instrText xml:space="preserve"> NUMPAGES  </w:instrText>
              </w:r>
              <w:r w:rsidRPr="00425364">
                <w:rPr>
                  <w:rFonts w:ascii="Arial" w:hAnsi="Arial" w:cs="Arial"/>
                  <w:b/>
                  <w:bCs/>
                  <w:sz w:val="16"/>
                  <w:szCs w:val="16"/>
                </w:rPr>
                <w:fldChar w:fldCharType="separate"/>
              </w:r>
              <w:r w:rsidRPr="00425364">
                <w:rPr>
                  <w:rFonts w:ascii="Arial" w:hAnsi="Arial" w:cs="Arial"/>
                  <w:b/>
                  <w:bCs/>
                  <w:sz w:val="16"/>
                  <w:szCs w:val="16"/>
                </w:rPr>
                <w:t>12</w:t>
              </w:r>
              <w:r w:rsidRPr="00425364">
                <w:rPr>
                  <w:rFonts w:ascii="Arial" w:hAnsi="Arial" w:cs="Arial"/>
                  <w:b/>
                  <w:bCs/>
                  <w:sz w:val="16"/>
                  <w:szCs w:val="16"/>
                </w:rPr>
                <w:fldChar w:fldCharType="end"/>
              </w:r>
            </w:p>
          </w:sdtContent>
        </w:sdt>
      </w:tc>
    </w:tr>
  </w:tbl>
  <w:p w14:paraId="36C5F975" w14:textId="4882ACD0" w:rsidR="00722A82" w:rsidRPr="0078287B" w:rsidRDefault="00722A82" w:rsidP="001B50AB">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162C0" w14:textId="290CC07E" w:rsidR="006500BE" w:rsidRDefault="006500BE">
    <w:pPr>
      <w:pStyle w:val="Footer"/>
    </w:pPr>
    <w:r>
      <w:rPr>
        <w:noProof/>
      </w:rPr>
      <w:drawing>
        <wp:anchor distT="0" distB="0" distL="114300" distR="114300" simplePos="0" relativeHeight="251657728" behindDoc="0" locked="0" layoutInCell="1" allowOverlap="1" wp14:anchorId="69417218" wp14:editId="0AC7D388">
          <wp:simplePos x="0" y="0"/>
          <wp:positionH relativeFrom="margin">
            <wp:align>center</wp:align>
          </wp:positionH>
          <wp:positionV relativeFrom="paragraph">
            <wp:posOffset>-88900</wp:posOffset>
          </wp:positionV>
          <wp:extent cx="7533005" cy="525780"/>
          <wp:effectExtent l="0" t="0" r="0" b="0"/>
          <wp:wrapNone/>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b="63247"/>
                  <a:stretch/>
                </pic:blipFill>
                <pic:spPr bwMode="auto">
                  <a:xfrm>
                    <a:off x="0" y="0"/>
                    <a:ext cx="7533005" cy="525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A0B2A" w14:textId="77777777" w:rsidR="00472351" w:rsidRDefault="00472351">
      <w:r>
        <w:separator/>
      </w:r>
    </w:p>
  </w:footnote>
  <w:footnote w:type="continuationSeparator" w:id="0">
    <w:p w14:paraId="00CF1CD4" w14:textId="77777777" w:rsidR="00472351" w:rsidRDefault="00472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CC0EB" w14:textId="6F6ABF55" w:rsidR="00722A82" w:rsidRDefault="00722A82" w:rsidP="00396972">
    <w:pPr>
      <w:pStyle w:val="Header"/>
      <w:tabs>
        <w:tab w:val="clear" w:pos="8306"/>
        <w:tab w:val="right" w:pos="9360"/>
      </w:tabs>
      <w:ind w:right="-96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D1F4C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EB9A7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B730C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7A041D"/>
    <w:multiLevelType w:val="hybridMultilevel"/>
    <w:tmpl w:val="1E342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0C5295"/>
    <w:multiLevelType w:val="hybridMultilevel"/>
    <w:tmpl w:val="EE2A46B2"/>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5" w15:restartNumberingAfterBreak="0">
    <w:nsid w:val="058325A9"/>
    <w:multiLevelType w:val="multilevel"/>
    <w:tmpl w:val="18C8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CE65E8"/>
    <w:multiLevelType w:val="hybridMultilevel"/>
    <w:tmpl w:val="A2FE5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63E5C3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8D61EA7"/>
    <w:multiLevelType w:val="hybridMultilevel"/>
    <w:tmpl w:val="98E63EE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802F4F"/>
    <w:multiLevelType w:val="hybridMultilevel"/>
    <w:tmpl w:val="6A14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2A6ED5"/>
    <w:multiLevelType w:val="hybridMultilevel"/>
    <w:tmpl w:val="4CBAE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1C5FE4"/>
    <w:multiLevelType w:val="multilevel"/>
    <w:tmpl w:val="F8CA15D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4190419"/>
    <w:multiLevelType w:val="hybridMultilevel"/>
    <w:tmpl w:val="C8B2F1B0"/>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13" w15:restartNumberingAfterBreak="0">
    <w:nsid w:val="29EB5735"/>
    <w:multiLevelType w:val="hybridMultilevel"/>
    <w:tmpl w:val="ABB858AA"/>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14" w15:restartNumberingAfterBreak="0">
    <w:nsid w:val="2AF93E76"/>
    <w:multiLevelType w:val="hybridMultilevel"/>
    <w:tmpl w:val="0D1C57BE"/>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15" w15:restartNumberingAfterBreak="0">
    <w:nsid w:val="332726AE"/>
    <w:multiLevelType w:val="hybridMultilevel"/>
    <w:tmpl w:val="259AE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89E4411"/>
    <w:multiLevelType w:val="hybridMultilevel"/>
    <w:tmpl w:val="13AAA1A6"/>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17" w15:restartNumberingAfterBreak="0">
    <w:nsid w:val="3AAB7AE6"/>
    <w:multiLevelType w:val="hybridMultilevel"/>
    <w:tmpl w:val="2CD8E684"/>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8" w15:restartNumberingAfterBreak="0">
    <w:nsid w:val="3C2E6FFD"/>
    <w:multiLevelType w:val="hybridMultilevel"/>
    <w:tmpl w:val="FF40F296"/>
    <w:lvl w:ilvl="0" w:tplc="5548083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646FA8"/>
    <w:multiLevelType w:val="multilevel"/>
    <w:tmpl w:val="AB3CD02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0140B97"/>
    <w:multiLevelType w:val="hybridMultilevel"/>
    <w:tmpl w:val="C5DC1D8E"/>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21" w15:restartNumberingAfterBreak="0">
    <w:nsid w:val="43072EE2"/>
    <w:multiLevelType w:val="multilevel"/>
    <w:tmpl w:val="7D0C9EA4"/>
    <w:lvl w:ilvl="0">
      <w:start w:val="1"/>
      <w:numFmt w:val="decimal"/>
      <w:lvlText w:val="%1.0"/>
      <w:lvlJc w:val="left"/>
      <w:pPr>
        <w:ind w:left="780" w:hanging="780"/>
      </w:pPr>
      <w:rPr>
        <w:rFonts w:hint="default"/>
      </w:rPr>
    </w:lvl>
    <w:lvl w:ilvl="1">
      <w:start w:val="1"/>
      <w:numFmt w:val="decimal"/>
      <w:lvlText w:val="%1.%2"/>
      <w:lvlJc w:val="left"/>
      <w:pPr>
        <w:ind w:left="1500" w:hanging="780"/>
      </w:pPr>
      <w:rPr>
        <w:rFonts w:hint="default"/>
      </w:rPr>
    </w:lvl>
    <w:lvl w:ilvl="2">
      <w:start w:val="1"/>
      <w:numFmt w:val="decimal"/>
      <w:lvlText w:val="%1.%2.%3"/>
      <w:lvlJc w:val="left"/>
      <w:pPr>
        <w:ind w:left="2220" w:hanging="780"/>
      </w:pPr>
      <w:rPr>
        <w:rFonts w:hint="default"/>
      </w:rPr>
    </w:lvl>
    <w:lvl w:ilvl="3">
      <w:start w:val="1"/>
      <w:numFmt w:val="decimal"/>
      <w:lvlText w:val="%1.%2.%3.%4"/>
      <w:lvlJc w:val="left"/>
      <w:pPr>
        <w:ind w:left="2940" w:hanging="7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43A27AD"/>
    <w:multiLevelType w:val="hybridMultilevel"/>
    <w:tmpl w:val="9D1226A4"/>
    <w:lvl w:ilvl="0" w:tplc="4478FC46">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DD0DF2"/>
    <w:multiLevelType w:val="hybridMultilevel"/>
    <w:tmpl w:val="CCE06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5AC1CD3"/>
    <w:multiLevelType w:val="hybridMultilevel"/>
    <w:tmpl w:val="E392D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6380A2D"/>
    <w:multiLevelType w:val="multilevel"/>
    <w:tmpl w:val="1E98068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89D7413"/>
    <w:multiLevelType w:val="multilevel"/>
    <w:tmpl w:val="9D0C830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17A7039"/>
    <w:multiLevelType w:val="hybridMultilevel"/>
    <w:tmpl w:val="C7F0F6CE"/>
    <w:lvl w:ilvl="0" w:tplc="474CB7D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8C30BFE"/>
    <w:multiLevelType w:val="hybridMultilevel"/>
    <w:tmpl w:val="6E60E182"/>
    <w:lvl w:ilvl="0" w:tplc="F8B01E1C">
      <w:start w:val="1"/>
      <w:numFmt w:val="bullet"/>
      <w:lvlText w:val="•"/>
      <w:lvlJc w:val="left"/>
      <w:pPr>
        <w:tabs>
          <w:tab w:val="num" w:pos="360"/>
        </w:tabs>
        <w:ind w:left="360" w:hanging="360"/>
      </w:pPr>
      <w:rPr>
        <w:rFonts w:ascii="Arial" w:hAnsi="Arial" w:hint="default"/>
      </w:rPr>
    </w:lvl>
    <w:lvl w:ilvl="1" w:tplc="5EC4FBB0" w:tentative="1">
      <w:start w:val="1"/>
      <w:numFmt w:val="bullet"/>
      <w:lvlText w:val="•"/>
      <w:lvlJc w:val="left"/>
      <w:pPr>
        <w:tabs>
          <w:tab w:val="num" w:pos="1080"/>
        </w:tabs>
        <w:ind w:left="1080" w:hanging="360"/>
      </w:pPr>
      <w:rPr>
        <w:rFonts w:ascii="Arial" w:hAnsi="Arial" w:hint="default"/>
      </w:rPr>
    </w:lvl>
    <w:lvl w:ilvl="2" w:tplc="18889704" w:tentative="1">
      <w:start w:val="1"/>
      <w:numFmt w:val="bullet"/>
      <w:lvlText w:val="•"/>
      <w:lvlJc w:val="left"/>
      <w:pPr>
        <w:tabs>
          <w:tab w:val="num" w:pos="1800"/>
        </w:tabs>
        <w:ind w:left="1800" w:hanging="360"/>
      </w:pPr>
      <w:rPr>
        <w:rFonts w:ascii="Arial" w:hAnsi="Arial" w:hint="default"/>
      </w:rPr>
    </w:lvl>
    <w:lvl w:ilvl="3" w:tplc="20E433FE" w:tentative="1">
      <w:start w:val="1"/>
      <w:numFmt w:val="bullet"/>
      <w:lvlText w:val="•"/>
      <w:lvlJc w:val="left"/>
      <w:pPr>
        <w:tabs>
          <w:tab w:val="num" w:pos="2520"/>
        </w:tabs>
        <w:ind w:left="2520" w:hanging="360"/>
      </w:pPr>
      <w:rPr>
        <w:rFonts w:ascii="Arial" w:hAnsi="Arial" w:hint="default"/>
      </w:rPr>
    </w:lvl>
    <w:lvl w:ilvl="4" w:tplc="2884CF7A" w:tentative="1">
      <w:start w:val="1"/>
      <w:numFmt w:val="bullet"/>
      <w:lvlText w:val="•"/>
      <w:lvlJc w:val="left"/>
      <w:pPr>
        <w:tabs>
          <w:tab w:val="num" w:pos="3240"/>
        </w:tabs>
        <w:ind w:left="3240" w:hanging="360"/>
      </w:pPr>
      <w:rPr>
        <w:rFonts w:ascii="Arial" w:hAnsi="Arial" w:hint="default"/>
      </w:rPr>
    </w:lvl>
    <w:lvl w:ilvl="5" w:tplc="2E10AA84" w:tentative="1">
      <w:start w:val="1"/>
      <w:numFmt w:val="bullet"/>
      <w:lvlText w:val="•"/>
      <w:lvlJc w:val="left"/>
      <w:pPr>
        <w:tabs>
          <w:tab w:val="num" w:pos="3960"/>
        </w:tabs>
        <w:ind w:left="3960" w:hanging="360"/>
      </w:pPr>
      <w:rPr>
        <w:rFonts w:ascii="Arial" w:hAnsi="Arial" w:hint="default"/>
      </w:rPr>
    </w:lvl>
    <w:lvl w:ilvl="6" w:tplc="0A1E7848" w:tentative="1">
      <w:start w:val="1"/>
      <w:numFmt w:val="bullet"/>
      <w:lvlText w:val="•"/>
      <w:lvlJc w:val="left"/>
      <w:pPr>
        <w:tabs>
          <w:tab w:val="num" w:pos="4680"/>
        </w:tabs>
        <w:ind w:left="4680" w:hanging="360"/>
      </w:pPr>
      <w:rPr>
        <w:rFonts w:ascii="Arial" w:hAnsi="Arial" w:hint="default"/>
      </w:rPr>
    </w:lvl>
    <w:lvl w:ilvl="7" w:tplc="E912181A" w:tentative="1">
      <w:start w:val="1"/>
      <w:numFmt w:val="bullet"/>
      <w:lvlText w:val="•"/>
      <w:lvlJc w:val="left"/>
      <w:pPr>
        <w:tabs>
          <w:tab w:val="num" w:pos="5400"/>
        </w:tabs>
        <w:ind w:left="5400" w:hanging="360"/>
      </w:pPr>
      <w:rPr>
        <w:rFonts w:ascii="Arial" w:hAnsi="Arial" w:hint="default"/>
      </w:rPr>
    </w:lvl>
    <w:lvl w:ilvl="8" w:tplc="E12A8A70"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59142C86"/>
    <w:multiLevelType w:val="hybridMultilevel"/>
    <w:tmpl w:val="009A50C0"/>
    <w:lvl w:ilvl="0" w:tplc="66065E7A">
      <w:start w:val="1"/>
      <w:numFmt w:val="bullet"/>
      <w:pStyle w:val="DHBulletlist"/>
      <w:lvlText w:val=""/>
      <w:lvlJc w:val="left"/>
      <w:pPr>
        <w:tabs>
          <w:tab w:val="num" w:pos="360"/>
        </w:tabs>
        <w:ind w:left="360" w:hanging="360"/>
      </w:pPr>
      <w:rPr>
        <w:rFonts w:ascii="Symbol" w:hAnsi="Symbol" w:hint="default"/>
        <w:color w:val="00996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BE250D"/>
    <w:multiLevelType w:val="hybridMultilevel"/>
    <w:tmpl w:val="20B40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FC56AB"/>
    <w:multiLevelType w:val="hybridMultilevel"/>
    <w:tmpl w:val="1A70C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24F495E"/>
    <w:multiLevelType w:val="hybridMultilevel"/>
    <w:tmpl w:val="B7CC8B70"/>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33" w15:restartNumberingAfterBreak="0">
    <w:nsid w:val="65C21B5A"/>
    <w:multiLevelType w:val="hybridMultilevel"/>
    <w:tmpl w:val="FD14B38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4" w15:restartNumberingAfterBreak="0">
    <w:nsid w:val="67092422"/>
    <w:multiLevelType w:val="hybridMultilevel"/>
    <w:tmpl w:val="B05E9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6E4252"/>
    <w:multiLevelType w:val="hybridMultilevel"/>
    <w:tmpl w:val="0C2A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725D25"/>
    <w:multiLevelType w:val="hybridMultilevel"/>
    <w:tmpl w:val="CFA0E18E"/>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37" w15:restartNumberingAfterBreak="0">
    <w:nsid w:val="6D522E95"/>
    <w:multiLevelType w:val="hybridMultilevel"/>
    <w:tmpl w:val="5ECC3CC6"/>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38" w15:restartNumberingAfterBreak="0">
    <w:nsid w:val="6F5E2E06"/>
    <w:multiLevelType w:val="hybridMultilevel"/>
    <w:tmpl w:val="EDEE7FBA"/>
    <w:lvl w:ilvl="0" w:tplc="90EA090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E6949"/>
    <w:multiLevelType w:val="hybridMultilevel"/>
    <w:tmpl w:val="93DE4416"/>
    <w:lvl w:ilvl="0" w:tplc="F05A2B6E">
      <w:numFmt w:val="bullet"/>
      <w:lvlText w:val=""/>
      <w:lvlJc w:val="left"/>
      <w:pPr>
        <w:ind w:left="303" w:hanging="360"/>
      </w:pPr>
      <w:rPr>
        <w:rFonts w:ascii="Symbol" w:eastAsiaTheme="minorHAnsi" w:hAnsi="Symbol" w:cs="Arial" w:hint="default"/>
      </w:rPr>
    </w:lvl>
    <w:lvl w:ilvl="1" w:tplc="08090003" w:tentative="1">
      <w:start w:val="1"/>
      <w:numFmt w:val="bullet"/>
      <w:lvlText w:val="o"/>
      <w:lvlJc w:val="left"/>
      <w:pPr>
        <w:ind w:left="1023" w:hanging="360"/>
      </w:pPr>
      <w:rPr>
        <w:rFonts w:ascii="Courier New" w:hAnsi="Courier New" w:cs="Courier New" w:hint="default"/>
      </w:rPr>
    </w:lvl>
    <w:lvl w:ilvl="2" w:tplc="08090005" w:tentative="1">
      <w:start w:val="1"/>
      <w:numFmt w:val="bullet"/>
      <w:lvlText w:val=""/>
      <w:lvlJc w:val="left"/>
      <w:pPr>
        <w:ind w:left="1743" w:hanging="360"/>
      </w:pPr>
      <w:rPr>
        <w:rFonts w:ascii="Wingdings" w:hAnsi="Wingdings" w:hint="default"/>
      </w:rPr>
    </w:lvl>
    <w:lvl w:ilvl="3" w:tplc="08090001" w:tentative="1">
      <w:start w:val="1"/>
      <w:numFmt w:val="bullet"/>
      <w:lvlText w:val=""/>
      <w:lvlJc w:val="left"/>
      <w:pPr>
        <w:ind w:left="2463" w:hanging="360"/>
      </w:pPr>
      <w:rPr>
        <w:rFonts w:ascii="Symbol" w:hAnsi="Symbol" w:hint="default"/>
      </w:rPr>
    </w:lvl>
    <w:lvl w:ilvl="4" w:tplc="08090003" w:tentative="1">
      <w:start w:val="1"/>
      <w:numFmt w:val="bullet"/>
      <w:lvlText w:val="o"/>
      <w:lvlJc w:val="left"/>
      <w:pPr>
        <w:ind w:left="3183" w:hanging="360"/>
      </w:pPr>
      <w:rPr>
        <w:rFonts w:ascii="Courier New" w:hAnsi="Courier New" w:cs="Courier New" w:hint="default"/>
      </w:rPr>
    </w:lvl>
    <w:lvl w:ilvl="5" w:tplc="08090005" w:tentative="1">
      <w:start w:val="1"/>
      <w:numFmt w:val="bullet"/>
      <w:lvlText w:val=""/>
      <w:lvlJc w:val="left"/>
      <w:pPr>
        <w:ind w:left="3903" w:hanging="360"/>
      </w:pPr>
      <w:rPr>
        <w:rFonts w:ascii="Wingdings" w:hAnsi="Wingdings" w:hint="default"/>
      </w:rPr>
    </w:lvl>
    <w:lvl w:ilvl="6" w:tplc="08090001" w:tentative="1">
      <w:start w:val="1"/>
      <w:numFmt w:val="bullet"/>
      <w:lvlText w:val=""/>
      <w:lvlJc w:val="left"/>
      <w:pPr>
        <w:ind w:left="4623" w:hanging="360"/>
      </w:pPr>
      <w:rPr>
        <w:rFonts w:ascii="Symbol" w:hAnsi="Symbol" w:hint="default"/>
      </w:rPr>
    </w:lvl>
    <w:lvl w:ilvl="7" w:tplc="08090003" w:tentative="1">
      <w:start w:val="1"/>
      <w:numFmt w:val="bullet"/>
      <w:lvlText w:val="o"/>
      <w:lvlJc w:val="left"/>
      <w:pPr>
        <w:ind w:left="5343" w:hanging="360"/>
      </w:pPr>
      <w:rPr>
        <w:rFonts w:ascii="Courier New" w:hAnsi="Courier New" w:cs="Courier New" w:hint="default"/>
      </w:rPr>
    </w:lvl>
    <w:lvl w:ilvl="8" w:tplc="08090005" w:tentative="1">
      <w:start w:val="1"/>
      <w:numFmt w:val="bullet"/>
      <w:lvlText w:val=""/>
      <w:lvlJc w:val="left"/>
      <w:pPr>
        <w:ind w:left="6063" w:hanging="360"/>
      </w:pPr>
      <w:rPr>
        <w:rFonts w:ascii="Wingdings" w:hAnsi="Wingdings" w:hint="default"/>
      </w:rPr>
    </w:lvl>
  </w:abstractNum>
  <w:abstractNum w:abstractNumId="40" w15:restartNumberingAfterBreak="0">
    <w:nsid w:val="752F54BD"/>
    <w:multiLevelType w:val="hybridMultilevel"/>
    <w:tmpl w:val="4E64A5F2"/>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41" w15:restartNumberingAfterBreak="0">
    <w:nsid w:val="784D6F7A"/>
    <w:multiLevelType w:val="hybridMultilevel"/>
    <w:tmpl w:val="B84A7338"/>
    <w:lvl w:ilvl="0" w:tplc="4478FC4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B2F1CEC"/>
    <w:multiLevelType w:val="hybridMultilevel"/>
    <w:tmpl w:val="8CA65C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BC123E"/>
    <w:multiLevelType w:val="hybridMultilevel"/>
    <w:tmpl w:val="7AD4A6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4458233">
    <w:abstractNumId w:val="25"/>
  </w:num>
  <w:num w:numId="2" w16cid:durableId="590702750">
    <w:abstractNumId w:val="29"/>
  </w:num>
  <w:num w:numId="3" w16cid:durableId="1239486280">
    <w:abstractNumId w:val="28"/>
  </w:num>
  <w:num w:numId="4" w16cid:durableId="1983732836">
    <w:abstractNumId w:val="41"/>
  </w:num>
  <w:num w:numId="5" w16cid:durableId="905067365">
    <w:abstractNumId w:val="22"/>
  </w:num>
  <w:num w:numId="6" w16cid:durableId="1310093017">
    <w:abstractNumId w:val="5"/>
  </w:num>
  <w:num w:numId="7" w16cid:durableId="1248344158">
    <w:abstractNumId w:val="27"/>
  </w:num>
  <w:num w:numId="8" w16cid:durableId="438724575">
    <w:abstractNumId w:val="26"/>
  </w:num>
  <w:num w:numId="9" w16cid:durableId="911542513">
    <w:abstractNumId w:val="21"/>
  </w:num>
  <w:num w:numId="10" w16cid:durableId="1962030956">
    <w:abstractNumId w:val="31"/>
  </w:num>
  <w:num w:numId="11" w16cid:durableId="1133214776">
    <w:abstractNumId w:val="33"/>
  </w:num>
  <w:num w:numId="12" w16cid:durableId="1553737991">
    <w:abstractNumId w:val="11"/>
  </w:num>
  <w:num w:numId="13" w16cid:durableId="953515661">
    <w:abstractNumId w:val="19"/>
  </w:num>
  <w:num w:numId="14" w16cid:durableId="367338479">
    <w:abstractNumId w:val="1"/>
  </w:num>
  <w:num w:numId="15" w16cid:durableId="1615822538">
    <w:abstractNumId w:val="7"/>
  </w:num>
  <w:num w:numId="16" w16cid:durableId="1664352298">
    <w:abstractNumId w:val="23"/>
  </w:num>
  <w:num w:numId="17" w16cid:durableId="61609215">
    <w:abstractNumId w:val="18"/>
  </w:num>
  <w:num w:numId="18" w16cid:durableId="1602303432">
    <w:abstractNumId w:val="6"/>
  </w:num>
  <w:num w:numId="19" w16cid:durableId="2130859525">
    <w:abstractNumId w:val="43"/>
  </w:num>
  <w:num w:numId="20" w16cid:durableId="1207834311">
    <w:abstractNumId w:val="42"/>
  </w:num>
  <w:num w:numId="21" w16cid:durableId="1311599027">
    <w:abstractNumId w:val="30"/>
  </w:num>
  <w:num w:numId="22" w16cid:durableId="682441947">
    <w:abstractNumId w:val="34"/>
  </w:num>
  <w:num w:numId="23" w16cid:durableId="1033310619">
    <w:abstractNumId w:val="8"/>
  </w:num>
  <w:num w:numId="24" w16cid:durableId="546988365">
    <w:abstractNumId w:val="3"/>
  </w:num>
  <w:num w:numId="25" w16cid:durableId="543490441">
    <w:abstractNumId w:val="9"/>
  </w:num>
  <w:num w:numId="26" w16cid:durableId="178475097">
    <w:abstractNumId w:val="12"/>
  </w:num>
  <w:num w:numId="27" w16cid:durableId="392121672">
    <w:abstractNumId w:val="4"/>
  </w:num>
  <w:num w:numId="28" w16cid:durableId="2134516945">
    <w:abstractNumId w:val="14"/>
  </w:num>
  <w:num w:numId="29" w16cid:durableId="1313952218">
    <w:abstractNumId w:val="35"/>
  </w:num>
  <w:num w:numId="30" w16cid:durableId="931858239">
    <w:abstractNumId w:val="10"/>
  </w:num>
  <w:num w:numId="31" w16cid:durableId="611282785">
    <w:abstractNumId w:val="16"/>
  </w:num>
  <w:num w:numId="32" w16cid:durableId="1626813262">
    <w:abstractNumId w:val="40"/>
  </w:num>
  <w:num w:numId="33" w16cid:durableId="176046925">
    <w:abstractNumId w:val="13"/>
  </w:num>
  <w:num w:numId="34" w16cid:durableId="14894480">
    <w:abstractNumId w:val="37"/>
  </w:num>
  <w:num w:numId="35" w16cid:durableId="949508671">
    <w:abstractNumId w:val="36"/>
  </w:num>
  <w:num w:numId="36" w16cid:durableId="331294620">
    <w:abstractNumId w:val="0"/>
  </w:num>
  <w:num w:numId="37" w16cid:durableId="1430466428">
    <w:abstractNumId w:val="2"/>
  </w:num>
  <w:num w:numId="38" w16cid:durableId="1546218752">
    <w:abstractNumId w:val="39"/>
  </w:num>
  <w:num w:numId="39" w16cid:durableId="1462769853">
    <w:abstractNumId w:val="15"/>
  </w:num>
  <w:num w:numId="40" w16cid:durableId="1893492570">
    <w:abstractNumId w:val="20"/>
  </w:num>
  <w:num w:numId="41" w16cid:durableId="1232810129">
    <w:abstractNumId w:val="32"/>
  </w:num>
  <w:num w:numId="42" w16cid:durableId="324171583">
    <w:abstractNumId w:val="38"/>
  </w:num>
  <w:num w:numId="43" w16cid:durableId="1333096841">
    <w:abstractNumId w:val="17"/>
  </w:num>
  <w:num w:numId="44" w16cid:durableId="1809973802">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690"/>
    <w:rsid w:val="00014D56"/>
    <w:rsid w:val="00016CD0"/>
    <w:rsid w:val="000174FD"/>
    <w:rsid w:val="00025230"/>
    <w:rsid w:val="000408FF"/>
    <w:rsid w:val="000449FD"/>
    <w:rsid w:val="00054187"/>
    <w:rsid w:val="00054B45"/>
    <w:rsid w:val="00057A75"/>
    <w:rsid w:val="00066687"/>
    <w:rsid w:val="00066DA8"/>
    <w:rsid w:val="0007156F"/>
    <w:rsid w:val="00083C08"/>
    <w:rsid w:val="00085958"/>
    <w:rsid w:val="00092166"/>
    <w:rsid w:val="000940CC"/>
    <w:rsid w:val="00094ABD"/>
    <w:rsid w:val="00095F6F"/>
    <w:rsid w:val="00097E0C"/>
    <w:rsid w:val="000A7F7F"/>
    <w:rsid w:val="000B5672"/>
    <w:rsid w:val="000B608B"/>
    <w:rsid w:val="000C1405"/>
    <w:rsid w:val="000C4E9D"/>
    <w:rsid w:val="000D3B9A"/>
    <w:rsid w:val="000D59A0"/>
    <w:rsid w:val="000E46C6"/>
    <w:rsid w:val="000E4E4C"/>
    <w:rsid w:val="000F7C33"/>
    <w:rsid w:val="0010012D"/>
    <w:rsid w:val="001026CE"/>
    <w:rsid w:val="00107B29"/>
    <w:rsid w:val="00111566"/>
    <w:rsid w:val="00114885"/>
    <w:rsid w:val="00115A6A"/>
    <w:rsid w:val="001304EE"/>
    <w:rsid w:val="0013519C"/>
    <w:rsid w:val="00136091"/>
    <w:rsid w:val="00140948"/>
    <w:rsid w:val="0014236C"/>
    <w:rsid w:val="00143200"/>
    <w:rsid w:val="00144C89"/>
    <w:rsid w:val="0014583B"/>
    <w:rsid w:val="00152AB0"/>
    <w:rsid w:val="0015715A"/>
    <w:rsid w:val="00157D00"/>
    <w:rsid w:val="00161262"/>
    <w:rsid w:val="00162DC1"/>
    <w:rsid w:val="0016417A"/>
    <w:rsid w:val="00165C21"/>
    <w:rsid w:val="001678F9"/>
    <w:rsid w:val="001709CA"/>
    <w:rsid w:val="00171147"/>
    <w:rsid w:val="001723C9"/>
    <w:rsid w:val="00174BA9"/>
    <w:rsid w:val="00175E4C"/>
    <w:rsid w:val="0018262D"/>
    <w:rsid w:val="00185619"/>
    <w:rsid w:val="001866A7"/>
    <w:rsid w:val="0019209A"/>
    <w:rsid w:val="00194B51"/>
    <w:rsid w:val="001A14B6"/>
    <w:rsid w:val="001A7B2F"/>
    <w:rsid w:val="001B4BE5"/>
    <w:rsid w:val="001B50AB"/>
    <w:rsid w:val="001B5CC8"/>
    <w:rsid w:val="001C0105"/>
    <w:rsid w:val="001C057E"/>
    <w:rsid w:val="001C2FC6"/>
    <w:rsid w:val="001D3571"/>
    <w:rsid w:val="001D63EE"/>
    <w:rsid w:val="001E1D38"/>
    <w:rsid w:val="001E23BD"/>
    <w:rsid w:val="001E629C"/>
    <w:rsid w:val="001E7004"/>
    <w:rsid w:val="00201F18"/>
    <w:rsid w:val="0020451A"/>
    <w:rsid w:val="00205246"/>
    <w:rsid w:val="002057B2"/>
    <w:rsid w:val="002072B4"/>
    <w:rsid w:val="00210602"/>
    <w:rsid w:val="00226900"/>
    <w:rsid w:val="00232DEB"/>
    <w:rsid w:val="00233148"/>
    <w:rsid w:val="0024360E"/>
    <w:rsid w:val="002439D6"/>
    <w:rsid w:val="002539E1"/>
    <w:rsid w:val="00254941"/>
    <w:rsid w:val="002601CE"/>
    <w:rsid w:val="00271B0F"/>
    <w:rsid w:val="0028401E"/>
    <w:rsid w:val="00290535"/>
    <w:rsid w:val="00292B60"/>
    <w:rsid w:val="002A0C4F"/>
    <w:rsid w:val="002A3323"/>
    <w:rsid w:val="002A463D"/>
    <w:rsid w:val="002B68C8"/>
    <w:rsid w:val="002B6986"/>
    <w:rsid w:val="002B7EC3"/>
    <w:rsid w:val="002C0731"/>
    <w:rsid w:val="002C0A02"/>
    <w:rsid w:val="002C2E35"/>
    <w:rsid w:val="002C3862"/>
    <w:rsid w:val="002C71B2"/>
    <w:rsid w:val="002D2A28"/>
    <w:rsid w:val="002D6FD6"/>
    <w:rsid w:val="002E2612"/>
    <w:rsid w:val="002E4030"/>
    <w:rsid w:val="002F0C49"/>
    <w:rsid w:val="002F6529"/>
    <w:rsid w:val="00302333"/>
    <w:rsid w:val="00307092"/>
    <w:rsid w:val="00311D94"/>
    <w:rsid w:val="00313A24"/>
    <w:rsid w:val="00315ED6"/>
    <w:rsid w:val="00320BCD"/>
    <w:rsid w:val="00323F24"/>
    <w:rsid w:val="00326472"/>
    <w:rsid w:val="00335B32"/>
    <w:rsid w:val="00340BA6"/>
    <w:rsid w:val="00341382"/>
    <w:rsid w:val="00347F40"/>
    <w:rsid w:val="0035009B"/>
    <w:rsid w:val="00351A2D"/>
    <w:rsid w:val="00352E16"/>
    <w:rsid w:val="00353749"/>
    <w:rsid w:val="003558C9"/>
    <w:rsid w:val="00357B1E"/>
    <w:rsid w:val="0036088A"/>
    <w:rsid w:val="00361377"/>
    <w:rsid w:val="00374790"/>
    <w:rsid w:val="0037670C"/>
    <w:rsid w:val="00380F5A"/>
    <w:rsid w:val="00383E13"/>
    <w:rsid w:val="00384331"/>
    <w:rsid w:val="003846CD"/>
    <w:rsid w:val="00393ABB"/>
    <w:rsid w:val="00395123"/>
    <w:rsid w:val="00396972"/>
    <w:rsid w:val="003A0B90"/>
    <w:rsid w:val="003A158F"/>
    <w:rsid w:val="003A5D13"/>
    <w:rsid w:val="003A73C0"/>
    <w:rsid w:val="003B2946"/>
    <w:rsid w:val="003C171A"/>
    <w:rsid w:val="003C492E"/>
    <w:rsid w:val="003D2D2F"/>
    <w:rsid w:val="003D2E80"/>
    <w:rsid w:val="003D3AC9"/>
    <w:rsid w:val="003D7DFE"/>
    <w:rsid w:val="003E052E"/>
    <w:rsid w:val="003E0FCA"/>
    <w:rsid w:val="003E28A6"/>
    <w:rsid w:val="003E4FB4"/>
    <w:rsid w:val="003E5E1E"/>
    <w:rsid w:val="003F106C"/>
    <w:rsid w:val="003F3E3F"/>
    <w:rsid w:val="003F49BA"/>
    <w:rsid w:val="00401B76"/>
    <w:rsid w:val="0040391B"/>
    <w:rsid w:val="00405194"/>
    <w:rsid w:val="00412C75"/>
    <w:rsid w:val="00415CA7"/>
    <w:rsid w:val="00416EA4"/>
    <w:rsid w:val="00417AEC"/>
    <w:rsid w:val="00421B31"/>
    <w:rsid w:val="00423297"/>
    <w:rsid w:val="00425364"/>
    <w:rsid w:val="00432F95"/>
    <w:rsid w:val="004350C0"/>
    <w:rsid w:val="0043648C"/>
    <w:rsid w:val="004371DE"/>
    <w:rsid w:val="00442041"/>
    <w:rsid w:val="00442F27"/>
    <w:rsid w:val="00443B92"/>
    <w:rsid w:val="00446652"/>
    <w:rsid w:val="00450A91"/>
    <w:rsid w:val="004511C8"/>
    <w:rsid w:val="0045127E"/>
    <w:rsid w:val="00451E0B"/>
    <w:rsid w:val="00456A71"/>
    <w:rsid w:val="004708A2"/>
    <w:rsid w:val="00470B25"/>
    <w:rsid w:val="00472351"/>
    <w:rsid w:val="004761F5"/>
    <w:rsid w:val="0048672E"/>
    <w:rsid w:val="00490B60"/>
    <w:rsid w:val="00492922"/>
    <w:rsid w:val="00492AB7"/>
    <w:rsid w:val="00494835"/>
    <w:rsid w:val="00496840"/>
    <w:rsid w:val="004A48F7"/>
    <w:rsid w:val="004A55E8"/>
    <w:rsid w:val="004A7F35"/>
    <w:rsid w:val="004B02C3"/>
    <w:rsid w:val="004B16C4"/>
    <w:rsid w:val="004B46EB"/>
    <w:rsid w:val="004D091E"/>
    <w:rsid w:val="004D2CFD"/>
    <w:rsid w:val="004D2E2C"/>
    <w:rsid w:val="004D610D"/>
    <w:rsid w:val="004E05DD"/>
    <w:rsid w:val="004E1178"/>
    <w:rsid w:val="004E6712"/>
    <w:rsid w:val="004F6A45"/>
    <w:rsid w:val="00500F59"/>
    <w:rsid w:val="00501FB6"/>
    <w:rsid w:val="005025DC"/>
    <w:rsid w:val="00502A35"/>
    <w:rsid w:val="0050315F"/>
    <w:rsid w:val="0050520B"/>
    <w:rsid w:val="005058F3"/>
    <w:rsid w:val="005072ED"/>
    <w:rsid w:val="00521953"/>
    <w:rsid w:val="00527475"/>
    <w:rsid w:val="0053432B"/>
    <w:rsid w:val="00544779"/>
    <w:rsid w:val="00545DA0"/>
    <w:rsid w:val="00547B57"/>
    <w:rsid w:val="00547C8B"/>
    <w:rsid w:val="005529D8"/>
    <w:rsid w:val="00561F7D"/>
    <w:rsid w:val="0057401D"/>
    <w:rsid w:val="005754BF"/>
    <w:rsid w:val="005754C4"/>
    <w:rsid w:val="00575F62"/>
    <w:rsid w:val="00583BD0"/>
    <w:rsid w:val="00583F75"/>
    <w:rsid w:val="00587845"/>
    <w:rsid w:val="005900AE"/>
    <w:rsid w:val="00591B39"/>
    <w:rsid w:val="005927BB"/>
    <w:rsid w:val="005938D7"/>
    <w:rsid w:val="00595D7C"/>
    <w:rsid w:val="005A094F"/>
    <w:rsid w:val="005B3196"/>
    <w:rsid w:val="005C667E"/>
    <w:rsid w:val="005C686F"/>
    <w:rsid w:val="005D10B0"/>
    <w:rsid w:val="005D1CCD"/>
    <w:rsid w:val="005D3261"/>
    <w:rsid w:val="005F0B26"/>
    <w:rsid w:val="005F36AA"/>
    <w:rsid w:val="00600027"/>
    <w:rsid w:val="00600D61"/>
    <w:rsid w:val="00600E2C"/>
    <w:rsid w:val="00605C43"/>
    <w:rsid w:val="0060782D"/>
    <w:rsid w:val="006201A8"/>
    <w:rsid w:val="006215E9"/>
    <w:rsid w:val="006216D1"/>
    <w:rsid w:val="0062310F"/>
    <w:rsid w:val="006263B5"/>
    <w:rsid w:val="006307BA"/>
    <w:rsid w:val="00630B86"/>
    <w:rsid w:val="0063644A"/>
    <w:rsid w:val="00643349"/>
    <w:rsid w:val="00645901"/>
    <w:rsid w:val="006500BE"/>
    <w:rsid w:val="00650E3F"/>
    <w:rsid w:val="00653E10"/>
    <w:rsid w:val="006560D9"/>
    <w:rsid w:val="0067579E"/>
    <w:rsid w:val="00676D86"/>
    <w:rsid w:val="006840A9"/>
    <w:rsid w:val="00695904"/>
    <w:rsid w:val="00696AED"/>
    <w:rsid w:val="006A0FFA"/>
    <w:rsid w:val="006A5A46"/>
    <w:rsid w:val="006A6BB2"/>
    <w:rsid w:val="006B7F7B"/>
    <w:rsid w:val="006C3CE8"/>
    <w:rsid w:val="006E029F"/>
    <w:rsid w:val="006E28DA"/>
    <w:rsid w:val="006F1F87"/>
    <w:rsid w:val="007029DD"/>
    <w:rsid w:val="00706EF6"/>
    <w:rsid w:val="007073CE"/>
    <w:rsid w:val="0071045E"/>
    <w:rsid w:val="007166FC"/>
    <w:rsid w:val="007214E5"/>
    <w:rsid w:val="00722A82"/>
    <w:rsid w:val="0074036E"/>
    <w:rsid w:val="007509F0"/>
    <w:rsid w:val="00754C36"/>
    <w:rsid w:val="00755B96"/>
    <w:rsid w:val="00760853"/>
    <w:rsid w:val="00760E39"/>
    <w:rsid w:val="00761230"/>
    <w:rsid w:val="007714B2"/>
    <w:rsid w:val="00773092"/>
    <w:rsid w:val="00774639"/>
    <w:rsid w:val="00775F63"/>
    <w:rsid w:val="0078287B"/>
    <w:rsid w:val="007839D9"/>
    <w:rsid w:val="007850CE"/>
    <w:rsid w:val="00785DCB"/>
    <w:rsid w:val="00786C99"/>
    <w:rsid w:val="007877CB"/>
    <w:rsid w:val="00796690"/>
    <w:rsid w:val="007A2065"/>
    <w:rsid w:val="007A4792"/>
    <w:rsid w:val="007A4B61"/>
    <w:rsid w:val="007A5A51"/>
    <w:rsid w:val="007A64C2"/>
    <w:rsid w:val="007A7E0F"/>
    <w:rsid w:val="007B0FF8"/>
    <w:rsid w:val="007B155D"/>
    <w:rsid w:val="007B391C"/>
    <w:rsid w:val="007B4415"/>
    <w:rsid w:val="007B49F5"/>
    <w:rsid w:val="007B5F7C"/>
    <w:rsid w:val="007B7A90"/>
    <w:rsid w:val="007C12A0"/>
    <w:rsid w:val="007C226F"/>
    <w:rsid w:val="007C5768"/>
    <w:rsid w:val="007C603E"/>
    <w:rsid w:val="007C7285"/>
    <w:rsid w:val="007D4C72"/>
    <w:rsid w:val="007E12BE"/>
    <w:rsid w:val="007F1F30"/>
    <w:rsid w:val="007F3900"/>
    <w:rsid w:val="00804EEA"/>
    <w:rsid w:val="008056CE"/>
    <w:rsid w:val="008070DE"/>
    <w:rsid w:val="008162DE"/>
    <w:rsid w:val="00820158"/>
    <w:rsid w:val="00820E22"/>
    <w:rsid w:val="00821E8C"/>
    <w:rsid w:val="00822100"/>
    <w:rsid w:val="00831FB2"/>
    <w:rsid w:val="0084207B"/>
    <w:rsid w:val="0084490F"/>
    <w:rsid w:val="0085231E"/>
    <w:rsid w:val="0085259D"/>
    <w:rsid w:val="008547E0"/>
    <w:rsid w:val="00854BA5"/>
    <w:rsid w:val="008552BE"/>
    <w:rsid w:val="00855CFE"/>
    <w:rsid w:val="00862EC4"/>
    <w:rsid w:val="00864DA9"/>
    <w:rsid w:val="00870640"/>
    <w:rsid w:val="00880108"/>
    <w:rsid w:val="008825C4"/>
    <w:rsid w:val="008857BE"/>
    <w:rsid w:val="00890235"/>
    <w:rsid w:val="00896574"/>
    <w:rsid w:val="008A231D"/>
    <w:rsid w:val="008A298B"/>
    <w:rsid w:val="008A34FE"/>
    <w:rsid w:val="008A5DEF"/>
    <w:rsid w:val="008A602C"/>
    <w:rsid w:val="008A7185"/>
    <w:rsid w:val="008B036C"/>
    <w:rsid w:val="008C107F"/>
    <w:rsid w:val="008C542F"/>
    <w:rsid w:val="008C5A14"/>
    <w:rsid w:val="008C7D6B"/>
    <w:rsid w:val="008D06B6"/>
    <w:rsid w:val="008D1CC1"/>
    <w:rsid w:val="008D1E8C"/>
    <w:rsid w:val="008D235B"/>
    <w:rsid w:val="008D389C"/>
    <w:rsid w:val="008D489A"/>
    <w:rsid w:val="008E2FCA"/>
    <w:rsid w:val="008E31E3"/>
    <w:rsid w:val="008E32CE"/>
    <w:rsid w:val="008F49D1"/>
    <w:rsid w:val="008F5082"/>
    <w:rsid w:val="008F6540"/>
    <w:rsid w:val="009057EF"/>
    <w:rsid w:val="00907E7C"/>
    <w:rsid w:val="009115CF"/>
    <w:rsid w:val="009140E8"/>
    <w:rsid w:val="00914D0B"/>
    <w:rsid w:val="00920AF3"/>
    <w:rsid w:val="00921141"/>
    <w:rsid w:val="00926FC1"/>
    <w:rsid w:val="0092707A"/>
    <w:rsid w:val="0093120E"/>
    <w:rsid w:val="00932407"/>
    <w:rsid w:val="009324CE"/>
    <w:rsid w:val="00942B2A"/>
    <w:rsid w:val="0094544D"/>
    <w:rsid w:val="00947830"/>
    <w:rsid w:val="00957ABF"/>
    <w:rsid w:val="00965D04"/>
    <w:rsid w:val="009673F5"/>
    <w:rsid w:val="0097014E"/>
    <w:rsid w:val="009731D4"/>
    <w:rsid w:val="00980B10"/>
    <w:rsid w:val="0099246C"/>
    <w:rsid w:val="00994157"/>
    <w:rsid w:val="009A12F9"/>
    <w:rsid w:val="009A4818"/>
    <w:rsid w:val="009A5C27"/>
    <w:rsid w:val="009B375B"/>
    <w:rsid w:val="009B7769"/>
    <w:rsid w:val="009D0E8D"/>
    <w:rsid w:val="009D4A4A"/>
    <w:rsid w:val="009D52BA"/>
    <w:rsid w:val="009E027D"/>
    <w:rsid w:val="009E0D24"/>
    <w:rsid w:val="009E0EC7"/>
    <w:rsid w:val="009E55A6"/>
    <w:rsid w:val="009E771F"/>
    <w:rsid w:val="009F07B4"/>
    <w:rsid w:val="009F46DF"/>
    <w:rsid w:val="009F6EE2"/>
    <w:rsid w:val="009F740A"/>
    <w:rsid w:val="00A02515"/>
    <w:rsid w:val="00A03C85"/>
    <w:rsid w:val="00A04FB0"/>
    <w:rsid w:val="00A0712A"/>
    <w:rsid w:val="00A13942"/>
    <w:rsid w:val="00A22A89"/>
    <w:rsid w:val="00A23EAA"/>
    <w:rsid w:val="00A26E5F"/>
    <w:rsid w:val="00A27FCD"/>
    <w:rsid w:val="00A35387"/>
    <w:rsid w:val="00A35DA5"/>
    <w:rsid w:val="00A46366"/>
    <w:rsid w:val="00A50EF2"/>
    <w:rsid w:val="00A50F39"/>
    <w:rsid w:val="00A514D2"/>
    <w:rsid w:val="00A53E51"/>
    <w:rsid w:val="00A53F53"/>
    <w:rsid w:val="00A6225A"/>
    <w:rsid w:val="00A7359A"/>
    <w:rsid w:val="00A75E5D"/>
    <w:rsid w:val="00A771BE"/>
    <w:rsid w:val="00A82635"/>
    <w:rsid w:val="00A8380E"/>
    <w:rsid w:val="00A869D0"/>
    <w:rsid w:val="00A90A1B"/>
    <w:rsid w:val="00A90AA9"/>
    <w:rsid w:val="00AA17B0"/>
    <w:rsid w:val="00AA6ADB"/>
    <w:rsid w:val="00AB501B"/>
    <w:rsid w:val="00AC4903"/>
    <w:rsid w:val="00AD2A2A"/>
    <w:rsid w:val="00AD4F57"/>
    <w:rsid w:val="00AE0E5B"/>
    <w:rsid w:val="00AE2FF6"/>
    <w:rsid w:val="00AE5439"/>
    <w:rsid w:val="00AF202D"/>
    <w:rsid w:val="00AF6BED"/>
    <w:rsid w:val="00AF73EB"/>
    <w:rsid w:val="00B0099D"/>
    <w:rsid w:val="00B13D2F"/>
    <w:rsid w:val="00B16EB4"/>
    <w:rsid w:val="00B2130B"/>
    <w:rsid w:val="00B213E3"/>
    <w:rsid w:val="00B239A4"/>
    <w:rsid w:val="00B266BE"/>
    <w:rsid w:val="00B316B6"/>
    <w:rsid w:val="00B32C10"/>
    <w:rsid w:val="00B3511F"/>
    <w:rsid w:val="00B41668"/>
    <w:rsid w:val="00B45721"/>
    <w:rsid w:val="00B50B27"/>
    <w:rsid w:val="00B564B5"/>
    <w:rsid w:val="00B74C72"/>
    <w:rsid w:val="00B74CA7"/>
    <w:rsid w:val="00B80B1A"/>
    <w:rsid w:val="00B8280C"/>
    <w:rsid w:val="00B83595"/>
    <w:rsid w:val="00B84B4B"/>
    <w:rsid w:val="00B87580"/>
    <w:rsid w:val="00B975A3"/>
    <w:rsid w:val="00BA36B0"/>
    <w:rsid w:val="00BA4576"/>
    <w:rsid w:val="00BA4D0E"/>
    <w:rsid w:val="00BB592D"/>
    <w:rsid w:val="00BB5AEE"/>
    <w:rsid w:val="00BB706F"/>
    <w:rsid w:val="00BC1D83"/>
    <w:rsid w:val="00BC2704"/>
    <w:rsid w:val="00BC38DE"/>
    <w:rsid w:val="00BC5AE3"/>
    <w:rsid w:val="00BC7C46"/>
    <w:rsid w:val="00BD1171"/>
    <w:rsid w:val="00BD1338"/>
    <w:rsid w:val="00BD4E8C"/>
    <w:rsid w:val="00BD6113"/>
    <w:rsid w:val="00BE16CC"/>
    <w:rsid w:val="00BE7EE9"/>
    <w:rsid w:val="00BF28AF"/>
    <w:rsid w:val="00BF5463"/>
    <w:rsid w:val="00BF60E4"/>
    <w:rsid w:val="00C00C73"/>
    <w:rsid w:val="00C06030"/>
    <w:rsid w:val="00C12A85"/>
    <w:rsid w:val="00C272F0"/>
    <w:rsid w:val="00C3010C"/>
    <w:rsid w:val="00C30401"/>
    <w:rsid w:val="00C3166B"/>
    <w:rsid w:val="00C34964"/>
    <w:rsid w:val="00C35C77"/>
    <w:rsid w:val="00C40259"/>
    <w:rsid w:val="00C42465"/>
    <w:rsid w:val="00C452A5"/>
    <w:rsid w:val="00C47C5B"/>
    <w:rsid w:val="00C66995"/>
    <w:rsid w:val="00C671AE"/>
    <w:rsid w:val="00C67D88"/>
    <w:rsid w:val="00C70207"/>
    <w:rsid w:val="00C77BDA"/>
    <w:rsid w:val="00C86E75"/>
    <w:rsid w:val="00C86EAF"/>
    <w:rsid w:val="00C90698"/>
    <w:rsid w:val="00C91D67"/>
    <w:rsid w:val="00CA0216"/>
    <w:rsid w:val="00CA0352"/>
    <w:rsid w:val="00CA487B"/>
    <w:rsid w:val="00CA75B5"/>
    <w:rsid w:val="00CC053C"/>
    <w:rsid w:val="00CC0717"/>
    <w:rsid w:val="00CD110E"/>
    <w:rsid w:val="00CD1DA6"/>
    <w:rsid w:val="00CD74C5"/>
    <w:rsid w:val="00CE29F1"/>
    <w:rsid w:val="00CE3998"/>
    <w:rsid w:val="00CF4D44"/>
    <w:rsid w:val="00D01126"/>
    <w:rsid w:val="00D0156F"/>
    <w:rsid w:val="00D0192A"/>
    <w:rsid w:val="00D104B6"/>
    <w:rsid w:val="00D148DF"/>
    <w:rsid w:val="00D17846"/>
    <w:rsid w:val="00D228EC"/>
    <w:rsid w:val="00D2621C"/>
    <w:rsid w:val="00D412E6"/>
    <w:rsid w:val="00D43109"/>
    <w:rsid w:val="00D44B94"/>
    <w:rsid w:val="00D44E08"/>
    <w:rsid w:val="00D65F72"/>
    <w:rsid w:val="00D72F5C"/>
    <w:rsid w:val="00D75055"/>
    <w:rsid w:val="00D76EDB"/>
    <w:rsid w:val="00D82B50"/>
    <w:rsid w:val="00DA11E9"/>
    <w:rsid w:val="00DA4129"/>
    <w:rsid w:val="00DA71E4"/>
    <w:rsid w:val="00DB0380"/>
    <w:rsid w:val="00DB0EBD"/>
    <w:rsid w:val="00DB2029"/>
    <w:rsid w:val="00DB6D36"/>
    <w:rsid w:val="00DB7C00"/>
    <w:rsid w:val="00DC6F42"/>
    <w:rsid w:val="00DC72C3"/>
    <w:rsid w:val="00DD5522"/>
    <w:rsid w:val="00DD6304"/>
    <w:rsid w:val="00DE7772"/>
    <w:rsid w:val="00DF1143"/>
    <w:rsid w:val="00DF1517"/>
    <w:rsid w:val="00DF1887"/>
    <w:rsid w:val="00DF261B"/>
    <w:rsid w:val="00DF58B6"/>
    <w:rsid w:val="00E023E5"/>
    <w:rsid w:val="00E07272"/>
    <w:rsid w:val="00E07634"/>
    <w:rsid w:val="00E135E7"/>
    <w:rsid w:val="00E153F1"/>
    <w:rsid w:val="00E223E0"/>
    <w:rsid w:val="00E224BF"/>
    <w:rsid w:val="00E23039"/>
    <w:rsid w:val="00E245B0"/>
    <w:rsid w:val="00E24D82"/>
    <w:rsid w:val="00E33C70"/>
    <w:rsid w:val="00E33DAB"/>
    <w:rsid w:val="00E34B2D"/>
    <w:rsid w:val="00E41981"/>
    <w:rsid w:val="00E429B0"/>
    <w:rsid w:val="00E44520"/>
    <w:rsid w:val="00E50A91"/>
    <w:rsid w:val="00E608BB"/>
    <w:rsid w:val="00E60AE7"/>
    <w:rsid w:val="00E61689"/>
    <w:rsid w:val="00E65511"/>
    <w:rsid w:val="00E72550"/>
    <w:rsid w:val="00E742F6"/>
    <w:rsid w:val="00E762BD"/>
    <w:rsid w:val="00E76ADD"/>
    <w:rsid w:val="00E77233"/>
    <w:rsid w:val="00E826B3"/>
    <w:rsid w:val="00E83A85"/>
    <w:rsid w:val="00E866B3"/>
    <w:rsid w:val="00E86ED1"/>
    <w:rsid w:val="00E9126A"/>
    <w:rsid w:val="00E9720E"/>
    <w:rsid w:val="00EA5749"/>
    <w:rsid w:val="00EA6422"/>
    <w:rsid w:val="00EB09F4"/>
    <w:rsid w:val="00EB0B0C"/>
    <w:rsid w:val="00EC0E67"/>
    <w:rsid w:val="00EC20E1"/>
    <w:rsid w:val="00EC4B10"/>
    <w:rsid w:val="00EC62FA"/>
    <w:rsid w:val="00EC79E9"/>
    <w:rsid w:val="00ED69B3"/>
    <w:rsid w:val="00EE1A3C"/>
    <w:rsid w:val="00EE5383"/>
    <w:rsid w:val="00EF5DF9"/>
    <w:rsid w:val="00F00B7C"/>
    <w:rsid w:val="00F017EE"/>
    <w:rsid w:val="00F04426"/>
    <w:rsid w:val="00F3058D"/>
    <w:rsid w:val="00F35330"/>
    <w:rsid w:val="00F3576D"/>
    <w:rsid w:val="00F36657"/>
    <w:rsid w:val="00F459F6"/>
    <w:rsid w:val="00F461EE"/>
    <w:rsid w:val="00F476E3"/>
    <w:rsid w:val="00F504F6"/>
    <w:rsid w:val="00F53943"/>
    <w:rsid w:val="00F54533"/>
    <w:rsid w:val="00F61184"/>
    <w:rsid w:val="00F67361"/>
    <w:rsid w:val="00F703F4"/>
    <w:rsid w:val="00F708E3"/>
    <w:rsid w:val="00F776E3"/>
    <w:rsid w:val="00F8178C"/>
    <w:rsid w:val="00F83557"/>
    <w:rsid w:val="00F85105"/>
    <w:rsid w:val="00F94621"/>
    <w:rsid w:val="00FB09BA"/>
    <w:rsid w:val="00FB35CD"/>
    <w:rsid w:val="00FB467B"/>
    <w:rsid w:val="00FB4890"/>
    <w:rsid w:val="00FC02DA"/>
    <w:rsid w:val="00FC2E7B"/>
    <w:rsid w:val="00FC5FC6"/>
    <w:rsid w:val="00FC6C59"/>
    <w:rsid w:val="00FD01AF"/>
    <w:rsid w:val="00FD180B"/>
    <w:rsid w:val="00FD5770"/>
    <w:rsid w:val="00FD5B73"/>
    <w:rsid w:val="00FE5AEA"/>
    <w:rsid w:val="00FE6526"/>
    <w:rsid w:val="00FF2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B61DDCB"/>
  <w15:docId w15:val="{5C894376-405A-4DC8-9505-B28DF908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9DD"/>
  </w:style>
  <w:style w:type="paragraph" w:styleId="Heading1">
    <w:name w:val="heading 1"/>
    <w:basedOn w:val="Normal"/>
    <w:next w:val="Normal"/>
    <w:link w:val="Heading1Char"/>
    <w:uiPriority w:val="9"/>
    <w:qFormat/>
    <w:rsid w:val="007029DD"/>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7029DD"/>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029DD"/>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029DD"/>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7029DD"/>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7029DD"/>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7029DD"/>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7029DD"/>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7029DD"/>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48DF"/>
    <w:pPr>
      <w:tabs>
        <w:tab w:val="center" w:pos="4153"/>
        <w:tab w:val="right" w:pos="8306"/>
      </w:tabs>
    </w:pPr>
  </w:style>
  <w:style w:type="paragraph" w:styleId="Footer">
    <w:name w:val="footer"/>
    <w:basedOn w:val="Normal"/>
    <w:link w:val="FooterChar"/>
    <w:rsid w:val="00D148DF"/>
    <w:pPr>
      <w:tabs>
        <w:tab w:val="center" w:pos="4153"/>
        <w:tab w:val="right" w:pos="8306"/>
      </w:tabs>
    </w:pPr>
  </w:style>
  <w:style w:type="table" w:styleId="TableGrid">
    <w:name w:val="Table Grid"/>
    <w:basedOn w:val="TableNormal"/>
    <w:uiPriority w:val="59"/>
    <w:rsid w:val="00D14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527475"/>
    <w:rPr>
      <w:rFonts w:ascii="Arial" w:hAnsi="Arial" w:cs="Arial"/>
      <w:sz w:val="24"/>
      <w:szCs w:val="24"/>
    </w:rPr>
  </w:style>
  <w:style w:type="paragraph" w:styleId="BalloonText">
    <w:name w:val="Balloon Text"/>
    <w:basedOn w:val="Normal"/>
    <w:link w:val="BalloonTextChar"/>
    <w:rsid w:val="00AE0E5B"/>
    <w:rPr>
      <w:rFonts w:ascii="Tahoma" w:hAnsi="Tahoma" w:cs="Tahoma"/>
      <w:sz w:val="16"/>
      <w:szCs w:val="16"/>
    </w:rPr>
  </w:style>
  <w:style w:type="character" w:customStyle="1" w:styleId="BalloonTextChar">
    <w:name w:val="Balloon Text Char"/>
    <w:link w:val="BalloonText"/>
    <w:rsid w:val="00AE0E5B"/>
    <w:rPr>
      <w:rFonts w:ascii="Tahoma" w:hAnsi="Tahoma" w:cs="Tahoma"/>
      <w:sz w:val="16"/>
      <w:szCs w:val="16"/>
    </w:rPr>
  </w:style>
  <w:style w:type="paragraph" w:customStyle="1" w:styleId="Heading2NoOutline">
    <w:name w:val="Heading 2 (No Outline)"/>
    <w:basedOn w:val="Heading2"/>
    <w:next w:val="Normal"/>
    <w:rsid w:val="00DC6F42"/>
    <w:pPr>
      <w:keepLines w:val="0"/>
      <w:shd w:val="clear" w:color="auto" w:fill="569E95"/>
      <w:spacing w:before="240" w:after="120"/>
    </w:pPr>
    <w:rPr>
      <w:rFonts w:ascii="Arial" w:hAnsi="Arial"/>
      <w:color w:val="FFFFFF"/>
      <w:sz w:val="24"/>
      <w:szCs w:val="20"/>
    </w:rPr>
  </w:style>
  <w:style w:type="character" w:customStyle="1" w:styleId="Heading2Char">
    <w:name w:val="Heading 2 Char"/>
    <w:basedOn w:val="DefaultParagraphFont"/>
    <w:link w:val="Heading2"/>
    <w:uiPriority w:val="9"/>
    <w:rsid w:val="007029DD"/>
    <w:rPr>
      <w:rFonts w:asciiTheme="majorHAnsi" w:eastAsiaTheme="majorEastAsia" w:hAnsiTheme="majorHAnsi" w:cstheme="majorBidi"/>
      <w:color w:val="365F91" w:themeColor="accent1" w:themeShade="BF"/>
      <w:sz w:val="32"/>
      <w:szCs w:val="32"/>
    </w:rPr>
  </w:style>
  <w:style w:type="character" w:styleId="CommentReference">
    <w:name w:val="annotation reference"/>
    <w:rsid w:val="00C3166B"/>
    <w:rPr>
      <w:sz w:val="16"/>
      <w:szCs w:val="16"/>
    </w:rPr>
  </w:style>
  <w:style w:type="paragraph" w:styleId="CommentText">
    <w:name w:val="annotation text"/>
    <w:basedOn w:val="Normal"/>
    <w:link w:val="CommentTextChar"/>
    <w:rsid w:val="00C3166B"/>
    <w:rPr>
      <w:sz w:val="20"/>
      <w:szCs w:val="20"/>
    </w:rPr>
  </w:style>
  <w:style w:type="character" w:customStyle="1" w:styleId="CommentTextChar">
    <w:name w:val="Comment Text Char"/>
    <w:link w:val="CommentText"/>
    <w:rsid w:val="00C3166B"/>
    <w:rPr>
      <w:rFonts w:ascii="Arial" w:hAnsi="Arial" w:cs="Arial"/>
    </w:rPr>
  </w:style>
  <w:style w:type="paragraph" w:styleId="CommentSubject">
    <w:name w:val="annotation subject"/>
    <w:basedOn w:val="CommentText"/>
    <w:next w:val="CommentText"/>
    <w:link w:val="CommentSubjectChar"/>
    <w:rsid w:val="00C3166B"/>
    <w:rPr>
      <w:b/>
      <w:bCs/>
    </w:rPr>
  </w:style>
  <w:style w:type="character" w:customStyle="1" w:styleId="CommentSubjectChar">
    <w:name w:val="Comment Subject Char"/>
    <w:link w:val="CommentSubject"/>
    <w:rsid w:val="00C3166B"/>
    <w:rPr>
      <w:rFonts w:ascii="Arial" w:hAnsi="Arial" w:cs="Arial"/>
      <w:b/>
      <w:bCs/>
    </w:rPr>
  </w:style>
  <w:style w:type="paragraph" w:styleId="Revision">
    <w:name w:val="Revision"/>
    <w:hidden/>
    <w:uiPriority w:val="99"/>
    <w:semiHidden/>
    <w:rsid w:val="00C3166B"/>
    <w:rPr>
      <w:rFonts w:ascii="Arial" w:hAnsi="Arial" w:cs="Arial"/>
      <w:sz w:val="24"/>
      <w:szCs w:val="24"/>
    </w:rPr>
  </w:style>
  <w:style w:type="paragraph" w:styleId="FootnoteText">
    <w:name w:val="footnote text"/>
    <w:basedOn w:val="Normal"/>
    <w:link w:val="FootnoteTextChar"/>
    <w:rsid w:val="00695904"/>
    <w:rPr>
      <w:rFonts w:ascii="Times New Roman" w:hAnsi="Times New Roman" w:cs="Times New Roman"/>
      <w:sz w:val="20"/>
      <w:szCs w:val="20"/>
      <w:lang w:eastAsia="en-US"/>
    </w:rPr>
  </w:style>
  <w:style w:type="character" w:customStyle="1" w:styleId="FootnoteTextChar">
    <w:name w:val="Footnote Text Char"/>
    <w:basedOn w:val="DefaultParagraphFont"/>
    <w:link w:val="FootnoteText"/>
    <w:rsid w:val="00695904"/>
    <w:rPr>
      <w:lang w:eastAsia="en-US"/>
    </w:rPr>
  </w:style>
  <w:style w:type="character" w:styleId="FootnoteReference">
    <w:name w:val="footnote reference"/>
    <w:rsid w:val="00695904"/>
    <w:rPr>
      <w:vertAlign w:val="superscript"/>
    </w:rPr>
  </w:style>
  <w:style w:type="paragraph" w:customStyle="1" w:styleId="Default">
    <w:name w:val="Default"/>
    <w:rsid w:val="003D7DF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67D88"/>
    <w:pPr>
      <w:ind w:left="720"/>
      <w:contextualSpacing/>
    </w:pPr>
  </w:style>
  <w:style w:type="paragraph" w:styleId="NormalWeb">
    <w:name w:val="Normal (Web)"/>
    <w:basedOn w:val="Normal"/>
    <w:uiPriority w:val="99"/>
    <w:unhideWhenUsed/>
    <w:rsid w:val="00DC72C3"/>
    <w:pPr>
      <w:spacing w:after="1"/>
    </w:pPr>
    <w:rPr>
      <w:rFonts w:ascii="Times New Roman" w:hAnsi="Times New Roman" w:cs="Times New Roman"/>
    </w:rPr>
  </w:style>
  <w:style w:type="paragraph" w:styleId="BodyText">
    <w:name w:val="Body Text"/>
    <w:basedOn w:val="Normal"/>
    <w:link w:val="BodyTextChar"/>
    <w:uiPriority w:val="1"/>
    <w:rsid w:val="00BB592D"/>
    <w:pPr>
      <w:autoSpaceDE w:val="0"/>
      <w:autoSpaceDN w:val="0"/>
      <w:adjustRightInd w:val="0"/>
    </w:pPr>
    <w:rPr>
      <w:rFonts w:ascii="Times New Roman" w:hAnsi="Times New Roman" w:cs="Times New Roman"/>
      <w:lang w:val="en-US" w:eastAsia="en-US"/>
    </w:rPr>
  </w:style>
  <w:style w:type="character" w:customStyle="1" w:styleId="BodyTextChar">
    <w:name w:val="Body Text Char"/>
    <w:basedOn w:val="DefaultParagraphFont"/>
    <w:link w:val="BodyText"/>
    <w:uiPriority w:val="1"/>
    <w:rsid w:val="00BB592D"/>
    <w:rPr>
      <w:sz w:val="24"/>
      <w:szCs w:val="22"/>
      <w:lang w:val="en-US" w:eastAsia="en-US"/>
    </w:rPr>
  </w:style>
  <w:style w:type="character" w:customStyle="1" w:styleId="Heading5Char">
    <w:name w:val="Heading 5 Char"/>
    <w:basedOn w:val="DefaultParagraphFont"/>
    <w:link w:val="Heading5"/>
    <w:uiPriority w:val="9"/>
    <w:semiHidden/>
    <w:rsid w:val="007029DD"/>
    <w:rPr>
      <w:rFonts w:asciiTheme="majorHAnsi" w:eastAsiaTheme="majorEastAsia" w:hAnsiTheme="majorHAnsi" w:cstheme="majorBidi"/>
      <w:caps/>
      <w:color w:val="365F91" w:themeColor="accent1" w:themeShade="BF"/>
    </w:rPr>
  </w:style>
  <w:style w:type="character" w:styleId="Hyperlink">
    <w:name w:val="Hyperlink"/>
    <w:basedOn w:val="DefaultParagraphFont"/>
    <w:uiPriority w:val="99"/>
    <w:unhideWhenUsed/>
    <w:rsid w:val="00E866B3"/>
    <w:rPr>
      <w:color w:val="0000FF" w:themeColor="hyperlink"/>
      <w:u w:val="single"/>
    </w:rPr>
  </w:style>
  <w:style w:type="character" w:customStyle="1" w:styleId="DHSecondaryHeadingOneChar">
    <w:name w:val="DH Secondary Heading One Char"/>
    <w:link w:val="DHSecondaryHeadingOne"/>
    <w:locked/>
    <w:rsid w:val="00E50A91"/>
    <w:rPr>
      <w:rFonts w:ascii="Arial" w:hAnsi="Arial"/>
      <w:color w:val="009966"/>
      <w:sz w:val="28"/>
    </w:rPr>
  </w:style>
  <w:style w:type="paragraph" w:customStyle="1" w:styleId="DHSecondaryHeadingOne">
    <w:name w:val="DH Secondary Heading One"/>
    <w:basedOn w:val="Normal"/>
    <w:link w:val="DHSecondaryHeadingOneChar"/>
    <w:rsid w:val="00E50A91"/>
    <w:pPr>
      <w:spacing w:line="360" w:lineRule="exact"/>
    </w:pPr>
    <w:rPr>
      <w:rFonts w:cs="Times New Roman"/>
      <w:color w:val="009966"/>
      <w:sz w:val="28"/>
      <w:szCs w:val="20"/>
    </w:rPr>
  </w:style>
  <w:style w:type="character" w:customStyle="1" w:styleId="FooterChar">
    <w:name w:val="Footer Char"/>
    <w:basedOn w:val="DefaultParagraphFont"/>
    <w:link w:val="Footer"/>
    <w:rsid w:val="009F740A"/>
    <w:rPr>
      <w:rFonts w:ascii="Arial" w:hAnsi="Arial" w:cs="Arial"/>
      <w:sz w:val="24"/>
      <w:szCs w:val="24"/>
    </w:rPr>
  </w:style>
  <w:style w:type="paragraph" w:customStyle="1" w:styleId="DHBulletlist">
    <w:name w:val="DH Bullet list"/>
    <w:basedOn w:val="Normal"/>
    <w:rsid w:val="0074036E"/>
    <w:pPr>
      <w:numPr>
        <w:numId w:val="2"/>
      </w:numPr>
      <w:spacing w:line="320" w:lineRule="exact"/>
    </w:pPr>
    <w:rPr>
      <w:rFonts w:cs="Times New Roman"/>
      <w:szCs w:val="20"/>
      <w:lang w:eastAsia="en-US"/>
    </w:rPr>
  </w:style>
  <w:style w:type="character" w:customStyle="1" w:styleId="Heading1Char">
    <w:name w:val="Heading 1 Char"/>
    <w:basedOn w:val="DefaultParagraphFont"/>
    <w:link w:val="Heading1"/>
    <w:uiPriority w:val="9"/>
    <w:rsid w:val="007029DD"/>
    <w:rPr>
      <w:rFonts w:asciiTheme="majorHAnsi" w:eastAsiaTheme="majorEastAsia" w:hAnsiTheme="majorHAnsi" w:cstheme="majorBidi"/>
      <w:color w:val="244061" w:themeColor="accent1" w:themeShade="80"/>
      <w:sz w:val="36"/>
      <w:szCs w:val="36"/>
    </w:rPr>
  </w:style>
  <w:style w:type="paragraph" w:styleId="NoSpacing">
    <w:name w:val="No Spacing"/>
    <w:uiPriority w:val="1"/>
    <w:qFormat/>
    <w:rsid w:val="007029DD"/>
    <w:pPr>
      <w:spacing w:after="0" w:line="240" w:lineRule="auto"/>
    </w:pPr>
  </w:style>
  <w:style w:type="paragraph" w:styleId="PlainText">
    <w:name w:val="Plain Text"/>
    <w:basedOn w:val="Normal"/>
    <w:link w:val="PlainTextChar"/>
    <w:semiHidden/>
    <w:unhideWhenUsed/>
    <w:rsid w:val="00501FB6"/>
    <w:rPr>
      <w:rFonts w:ascii="Consolas" w:hAnsi="Consolas"/>
      <w:sz w:val="21"/>
      <w:szCs w:val="21"/>
    </w:rPr>
  </w:style>
  <w:style w:type="character" w:customStyle="1" w:styleId="PlainTextChar">
    <w:name w:val="Plain Text Char"/>
    <w:basedOn w:val="DefaultParagraphFont"/>
    <w:link w:val="PlainText"/>
    <w:semiHidden/>
    <w:rsid w:val="00501FB6"/>
    <w:rPr>
      <w:rFonts w:ascii="Consolas" w:hAnsi="Consolas" w:cs="Arial"/>
      <w:sz w:val="21"/>
      <w:szCs w:val="21"/>
    </w:rPr>
  </w:style>
  <w:style w:type="character" w:styleId="Emphasis">
    <w:name w:val="Emphasis"/>
    <w:basedOn w:val="DefaultParagraphFont"/>
    <w:uiPriority w:val="20"/>
    <w:qFormat/>
    <w:rsid w:val="007029DD"/>
    <w:rPr>
      <w:i/>
      <w:iCs/>
    </w:rPr>
  </w:style>
  <w:style w:type="table" w:styleId="ListTable4-Accent6">
    <w:name w:val="List Table 4 Accent 6"/>
    <w:basedOn w:val="TableNormal"/>
    <w:uiPriority w:val="49"/>
    <w:rsid w:val="002C3862"/>
    <w:rPr>
      <w:rFonts w:eastAsiaTheme="minorHAns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4-Accent1">
    <w:name w:val="List Table 4 Accent 1"/>
    <w:basedOn w:val="TableNormal"/>
    <w:uiPriority w:val="49"/>
    <w:rsid w:val="002C3862"/>
    <w:rPr>
      <w:rFonts w:eastAsiaTheme="minorHAns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rsid w:val="007029DD"/>
    <w:rPr>
      <w:b/>
      <w:bCs/>
    </w:rPr>
  </w:style>
  <w:style w:type="paragraph" w:styleId="Subtitle">
    <w:name w:val="Subtitle"/>
    <w:basedOn w:val="Normal"/>
    <w:next w:val="Normal"/>
    <w:link w:val="SubtitleChar"/>
    <w:uiPriority w:val="11"/>
    <w:qFormat/>
    <w:rsid w:val="007029DD"/>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7029DD"/>
    <w:rPr>
      <w:rFonts w:asciiTheme="majorHAnsi" w:eastAsiaTheme="majorEastAsia" w:hAnsiTheme="majorHAnsi" w:cstheme="majorBidi"/>
      <w:color w:val="4F81BD" w:themeColor="accent1"/>
      <w:sz w:val="28"/>
      <w:szCs w:val="28"/>
    </w:rPr>
  </w:style>
  <w:style w:type="paragraph" w:styleId="Title">
    <w:name w:val="Title"/>
    <w:basedOn w:val="Normal"/>
    <w:next w:val="Normal"/>
    <w:link w:val="TitleChar"/>
    <w:uiPriority w:val="10"/>
    <w:qFormat/>
    <w:rsid w:val="007029DD"/>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7029DD"/>
    <w:rPr>
      <w:rFonts w:asciiTheme="majorHAnsi" w:eastAsiaTheme="majorEastAsia" w:hAnsiTheme="majorHAnsi" w:cstheme="majorBidi"/>
      <w:caps/>
      <w:color w:val="1F497D" w:themeColor="text2"/>
      <w:spacing w:val="-15"/>
      <w:sz w:val="72"/>
      <w:szCs w:val="72"/>
    </w:rPr>
  </w:style>
  <w:style w:type="character" w:customStyle="1" w:styleId="Heading3Char">
    <w:name w:val="Heading 3 Char"/>
    <w:basedOn w:val="DefaultParagraphFont"/>
    <w:link w:val="Heading3"/>
    <w:uiPriority w:val="9"/>
    <w:semiHidden/>
    <w:rsid w:val="007029DD"/>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029DD"/>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7029DD"/>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7029DD"/>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7029DD"/>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7029DD"/>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7029DD"/>
    <w:pPr>
      <w:spacing w:line="240" w:lineRule="auto"/>
    </w:pPr>
    <w:rPr>
      <w:b/>
      <w:bCs/>
      <w:smallCaps/>
      <w:color w:val="1F497D" w:themeColor="text2"/>
    </w:rPr>
  </w:style>
  <w:style w:type="paragraph" w:styleId="Quote">
    <w:name w:val="Quote"/>
    <w:basedOn w:val="Normal"/>
    <w:next w:val="Normal"/>
    <w:link w:val="QuoteChar"/>
    <w:uiPriority w:val="29"/>
    <w:qFormat/>
    <w:rsid w:val="007029DD"/>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7029DD"/>
    <w:rPr>
      <w:color w:val="1F497D" w:themeColor="text2"/>
      <w:sz w:val="24"/>
      <w:szCs w:val="24"/>
    </w:rPr>
  </w:style>
  <w:style w:type="paragraph" w:styleId="IntenseQuote">
    <w:name w:val="Intense Quote"/>
    <w:basedOn w:val="Normal"/>
    <w:next w:val="Normal"/>
    <w:link w:val="IntenseQuoteChar"/>
    <w:uiPriority w:val="30"/>
    <w:qFormat/>
    <w:rsid w:val="007029DD"/>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7029DD"/>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7029DD"/>
    <w:rPr>
      <w:i/>
      <w:iCs/>
      <w:color w:val="595959" w:themeColor="text1" w:themeTint="A6"/>
    </w:rPr>
  </w:style>
  <w:style w:type="character" w:styleId="IntenseEmphasis">
    <w:name w:val="Intense Emphasis"/>
    <w:basedOn w:val="DefaultParagraphFont"/>
    <w:uiPriority w:val="21"/>
    <w:qFormat/>
    <w:rsid w:val="007029DD"/>
    <w:rPr>
      <w:b/>
      <w:bCs/>
      <w:i/>
      <w:iCs/>
    </w:rPr>
  </w:style>
  <w:style w:type="character" w:styleId="SubtleReference">
    <w:name w:val="Subtle Reference"/>
    <w:basedOn w:val="DefaultParagraphFont"/>
    <w:uiPriority w:val="31"/>
    <w:qFormat/>
    <w:rsid w:val="007029D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029DD"/>
    <w:rPr>
      <w:b/>
      <w:bCs/>
      <w:smallCaps/>
      <w:color w:val="1F497D" w:themeColor="text2"/>
      <w:u w:val="single"/>
    </w:rPr>
  </w:style>
  <w:style w:type="character" w:styleId="BookTitle">
    <w:name w:val="Book Title"/>
    <w:basedOn w:val="DefaultParagraphFont"/>
    <w:uiPriority w:val="33"/>
    <w:qFormat/>
    <w:rsid w:val="007029DD"/>
    <w:rPr>
      <w:b/>
      <w:bCs/>
      <w:smallCaps/>
      <w:spacing w:val="10"/>
    </w:rPr>
  </w:style>
  <w:style w:type="paragraph" w:styleId="TOCHeading">
    <w:name w:val="TOC Heading"/>
    <w:basedOn w:val="Heading1"/>
    <w:next w:val="Normal"/>
    <w:uiPriority w:val="39"/>
    <w:semiHidden/>
    <w:unhideWhenUsed/>
    <w:qFormat/>
    <w:rsid w:val="007029DD"/>
    <w:pPr>
      <w:outlineLvl w:val="9"/>
    </w:pPr>
  </w:style>
  <w:style w:type="character" w:styleId="UnresolvedMention">
    <w:name w:val="Unresolved Mention"/>
    <w:basedOn w:val="DefaultParagraphFont"/>
    <w:uiPriority w:val="99"/>
    <w:semiHidden/>
    <w:unhideWhenUsed/>
    <w:rsid w:val="00B21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71217">
      <w:bodyDiv w:val="1"/>
      <w:marLeft w:val="0"/>
      <w:marRight w:val="0"/>
      <w:marTop w:val="0"/>
      <w:marBottom w:val="0"/>
      <w:divBdr>
        <w:top w:val="none" w:sz="0" w:space="0" w:color="auto"/>
        <w:left w:val="none" w:sz="0" w:space="0" w:color="auto"/>
        <w:bottom w:val="none" w:sz="0" w:space="0" w:color="auto"/>
        <w:right w:val="none" w:sz="0" w:space="0" w:color="auto"/>
      </w:divBdr>
    </w:div>
    <w:div w:id="164974339">
      <w:bodyDiv w:val="1"/>
      <w:marLeft w:val="0"/>
      <w:marRight w:val="0"/>
      <w:marTop w:val="0"/>
      <w:marBottom w:val="0"/>
      <w:divBdr>
        <w:top w:val="none" w:sz="0" w:space="0" w:color="auto"/>
        <w:left w:val="none" w:sz="0" w:space="0" w:color="auto"/>
        <w:bottom w:val="none" w:sz="0" w:space="0" w:color="auto"/>
        <w:right w:val="none" w:sz="0" w:space="0" w:color="auto"/>
      </w:divBdr>
    </w:div>
    <w:div w:id="169180086">
      <w:bodyDiv w:val="1"/>
      <w:marLeft w:val="0"/>
      <w:marRight w:val="0"/>
      <w:marTop w:val="0"/>
      <w:marBottom w:val="0"/>
      <w:divBdr>
        <w:top w:val="none" w:sz="0" w:space="0" w:color="auto"/>
        <w:left w:val="none" w:sz="0" w:space="0" w:color="auto"/>
        <w:bottom w:val="none" w:sz="0" w:space="0" w:color="auto"/>
        <w:right w:val="none" w:sz="0" w:space="0" w:color="auto"/>
      </w:divBdr>
    </w:div>
    <w:div w:id="193538204">
      <w:bodyDiv w:val="1"/>
      <w:marLeft w:val="0"/>
      <w:marRight w:val="0"/>
      <w:marTop w:val="0"/>
      <w:marBottom w:val="0"/>
      <w:divBdr>
        <w:top w:val="none" w:sz="0" w:space="0" w:color="auto"/>
        <w:left w:val="none" w:sz="0" w:space="0" w:color="auto"/>
        <w:bottom w:val="none" w:sz="0" w:space="0" w:color="auto"/>
        <w:right w:val="none" w:sz="0" w:space="0" w:color="auto"/>
      </w:divBdr>
    </w:div>
    <w:div w:id="200171499">
      <w:bodyDiv w:val="1"/>
      <w:marLeft w:val="0"/>
      <w:marRight w:val="0"/>
      <w:marTop w:val="0"/>
      <w:marBottom w:val="0"/>
      <w:divBdr>
        <w:top w:val="none" w:sz="0" w:space="0" w:color="auto"/>
        <w:left w:val="none" w:sz="0" w:space="0" w:color="auto"/>
        <w:bottom w:val="none" w:sz="0" w:space="0" w:color="auto"/>
        <w:right w:val="none" w:sz="0" w:space="0" w:color="auto"/>
      </w:divBdr>
    </w:div>
    <w:div w:id="550190996">
      <w:bodyDiv w:val="1"/>
      <w:marLeft w:val="0"/>
      <w:marRight w:val="0"/>
      <w:marTop w:val="0"/>
      <w:marBottom w:val="0"/>
      <w:divBdr>
        <w:top w:val="none" w:sz="0" w:space="0" w:color="auto"/>
        <w:left w:val="none" w:sz="0" w:space="0" w:color="auto"/>
        <w:bottom w:val="none" w:sz="0" w:space="0" w:color="auto"/>
        <w:right w:val="none" w:sz="0" w:space="0" w:color="auto"/>
      </w:divBdr>
    </w:div>
    <w:div w:id="797529750">
      <w:bodyDiv w:val="1"/>
      <w:marLeft w:val="0"/>
      <w:marRight w:val="0"/>
      <w:marTop w:val="0"/>
      <w:marBottom w:val="0"/>
      <w:divBdr>
        <w:top w:val="none" w:sz="0" w:space="0" w:color="auto"/>
        <w:left w:val="none" w:sz="0" w:space="0" w:color="auto"/>
        <w:bottom w:val="none" w:sz="0" w:space="0" w:color="auto"/>
        <w:right w:val="none" w:sz="0" w:space="0" w:color="auto"/>
      </w:divBdr>
    </w:div>
    <w:div w:id="845747143">
      <w:bodyDiv w:val="1"/>
      <w:marLeft w:val="0"/>
      <w:marRight w:val="0"/>
      <w:marTop w:val="0"/>
      <w:marBottom w:val="0"/>
      <w:divBdr>
        <w:top w:val="none" w:sz="0" w:space="0" w:color="auto"/>
        <w:left w:val="none" w:sz="0" w:space="0" w:color="auto"/>
        <w:bottom w:val="none" w:sz="0" w:space="0" w:color="auto"/>
        <w:right w:val="none" w:sz="0" w:space="0" w:color="auto"/>
      </w:divBdr>
      <w:divsChild>
        <w:div w:id="1614744668">
          <w:marLeft w:val="0"/>
          <w:marRight w:val="0"/>
          <w:marTop w:val="100"/>
          <w:marBottom w:val="100"/>
          <w:divBdr>
            <w:top w:val="none" w:sz="0" w:space="0" w:color="auto"/>
            <w:left w:val="none" w:sz="0" w:space="0" w:color="auto"/>
            <w:bottom w:val="none" w:sz="0" w:space="0" w:color="auto"/>
            <w:right w:val="none" w:sz="0" w:space="0" w:color="auto"/>
          </w:divBdr>
          <w:divsChild>
            <w:div w:id="2033217116">
              <w:marLeft w:val="0"/>
              <w:marRight w:val="0"/>
              <w:marTop w:val="0"/>
              <w:marBottom w:val="0"/>
              <w:divBdr>
                <w:top w:val="none" w:sz="0" w:space="0" w:color="auto"/>
                <w:left w:val="none" w:sz="0" w:space="0" w:color="auto"/>
                <w:bottom w:val="none" w:sz="0" w:space="0" w:color="auto"/>
                <w:right w:val="none" w:sz="0" w:space="0" w:color="auto"/>
              </w:divBdr>
              <w:divsChild>
                <w:div w:id="467356557">
                  <w:marLeft w:val="0"/>
                  <w:marRight w:val="0"/>
                  <w:marTop w:val="0"/>
                  <w:marBottom w:val="0"/>
                  <w:divBdr>
                    <w:top w:val="none" w:sz="0" w:space="0" w:color="auto"/>
                    <w:left w:val="none" w:sz="0" w:space="0" w:color="auto"/>
                    <w:bottom w:val="none" w:sz="0" w:space="0" w:color="auto"/>
                    <w:right w:val="none" w:sz="0" w:space="0" w:color="auto"/>
                  </w:divBdr>
                  <w:divsChild>
                    <w:div w:id="192691999">
                      <w:marLeft w:val="0"/>
                      <w:marRight w:val="0"/>
                      <w:marTop w:val="0"/>
                      <w:marBottom w:val="0"/>
                      <w:divBdr>
                        <w:top w:val="none" w:sz="0" w:space="0" w:color="auto"/>
                        <w:left w:val="none" w:sz="0" w:space="0" w:color="auto"/>
                        <w:bottom w:val="none" w:sz="0" w:space="0" w:color="auto"/>
                        <w:right w:val="none" w:sz="0" w:space="0" w:color="auto"/>
                      </w:divBdr>
                      <w:divsChild>
                        <w:div w:id="1970895971">
                          <w:marLeft w:val="0"/>
                          <w:marRight w:val="0"/>
                          <w:marTop w:val="0"/>
                          <w:marBottom w:val="0"/>
                          <w:divBdr>
                            <w:top w:val="none" w:sz="0" w:space="0" w:color="auto"/>
                            <w:left w:val="none" w:sz="0" w:space="0" w:color="auto"/>
                            <w:bottom w:val="none" w:sz="0" w:space="0" w:color="auto"/>
                            <w:right w:val="none" w:sz="0" w:space="0" w:color="auto"/>
                          </w:divBdr>
                          <w:divsChild>
                            <w:div w:id="94254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009216">
      <w:bodyDiv w:val="1"/>
      <w:marLeft w:val="0"/>
      <w:marRight w:val="0"/>
      <w:marTop w:val="0"/>
      <w:marBottom w:val="0"/>
      <w:divBdr>
        <w:top w:val="none" w:sz="0" w:space="0" w:color="auto"/>
        <w:left w:val="none" w:sz="0" w:space="0" w:color="auto"/>
        <w:bottom w:val="none" w:sz="0" w:space="0" w:color="auto"/>
        <w:right w:val="none" w:sz="0" w:space="0" w:color="auto"/>
      </w:divBdr>
    </w:div>
    <w:div w:id="1246914986">
      <w:bodyDiv w:val="1"/>
      <w:marLeft w:val="0"/>
      <w:marRight w:val="0"/>
      <w:marTop w:val="0"/>
      <w:marBottom w:val="0"/>
      <w:divBdr>
        <w:top w:val="none" w:sz="0" w:space="0" w:color="auto"/>
        <w:left w:val="none" w:sz="0" w:space="0" w:color="auto"/>
        <w:bottom w:val="none" w:sz="0" w:space="0" w:color="auto"/>
        <w:right w:val="none" w:sz="0" w:space="0" w:color="auto"/>
      </w:divBdr>
    </w:div>
    <w:div w:id="1331758249">
      <w:bodyDiv w:val="1"/>
      <w:marLeft w:val="0"/>
      <w:marRight w:val="0"/>
      <w:marTop w:val="0"/>
      <w:marBottom w:val="0"/>
      <w:divBdr>
        <w:top w:val="none" w:sz="0" w:space="0" w:color="auto"/>
        <w:left w:val="none" w:sz="0" w:space="0" w:color="auto"/>
        <w:bottom w:val="none" w:sz="0" w:space="0" w:color="auto"/>
        <w:right w:val="none" w:sz="0" w:space="0" w:color="auto"/>
      </w:divBdr>
      <w:divsChild>
        <w:div w:id="1605961457">
          <w:marLeft w:val="0"/>
          <w:marRight w:val="0"/>
          <w:marTop w:val="0"/>
          <w:marBottom w:val="0"/>
          <w:divBdr>
            <w:top w:val="none" w:sz="0" w:space="0" w:color="auto"/>
            <w:left w:val="none" w:sz="0" w:space="0" w:color="auto"/>
            <w:bottom w:val="none" w:sz="0" w:space="0" w:color="auto"/>
            <w:right w:val="none" w:sz="0" w:space="0" w:color="auto"/>
          </w:divBdr>
        </w:div>
      </w:divsChild>
    </w:div>
    <w:div w:id="1343122160">
      <w:bodyDiv w:val="1"/>
      <w:marLeft w:val="0"/>
      <w:marRight w:val="0"/>
      <w:marTop w:val="0"/>
      <w:marBottom w:val="0"/>
      <w:divBdr>
        <w:top w:val="none" w:sz="0" w:space="0" w:color="auto"/>
        <w:left w:val="none" w:sz="0" w:space="0" w:color="auto"/>
        <w:bottom w:val="none" w:sz="0" w:space="0" w:color="auto"/>
        <w:right w:val="none" w:sz="0" w:space="0" w:color="auto"/>
      </w:divBdr>
    </w:div>
    <w:div w:id="1538468503">
      <w:bodyDiv w:val="1"/>
      <w:marLeft w:val="0"/>
      <w:marRight w:val="0"/>
      <w:marTop w:val="0"/>
      <w:marBottom w:val="0"/>
      <w:divBdr>
        <w:top w:val="none" w:sz="0" w:space="0" w:color="auto"/>
        <w:left w:val="none" w:sz="0" w:space="0" w:color="auto"/>
        <w:bottom w:val="none" w:sz="0" w:space="0" w:color="auto"/>
        <w:right w:val="none" w:sz="0" w:space="0" w:color="auto"/>
      </w:divBdr>
      <w:divsChild>
        <w:div w:id="1935280254">
          <w:marLeft w:val="0"/>
          <w:marRight w:val="0"/>
          <w:marTop w:val="0"/>
          <w:marBottom w:val="0"/>
          <w:divBdr>
            <w:top w:val="none" w:sz="0" w:space="0" w:color="auto"/>
            <w:left w:val="none" w:sz="0" w:space="0" w:color="auto"/>
            <w:bottom w:val="none" w:sz="0" w:space="0" w:color="auto"/>
            <w:right w:val="none" w:sz="0" w:space="0" w:color="auto"/>
          </w:divBdr>
          <w:divsChild>
            <w:div w:id="6569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0706">
      <w:bodyDiv w:val="1"/>
      <w:marLeft w:val="0"/>
      <w:marRight w:val="0"/>
      <w:marTop w:val="0"/>
      <w:marBottom w:val="0"/>
      <w:divBdr>
        <w:top w:val="none" w:sz="0" w:space="0" w:color="auto"/>
        <w:left w:val="none" w:sz="0" w:space="0" w:color="auto"/>
        <w:bottom w:val="none" w:sz="0" w:space="0" w:color="auto"/>
        <w:right w:val="none" w:sz="0" w:space="0" w:color="auto"/>
      </w:divBdr>
    </w:div>
    <w:div w:id="1597715209">
      <w:bodyDiv w:val="1"/>
      <w:marLeft w:val="0"/>
      <w:marRight w:val="0"/>
      <w:marTop w:val="0"/>
      <w:marBottom w:val="0"/>
      <w:divBdr>
        <w:top w:val="none" w:sz="0" w:space="0" w:color="auto"/>
        <w:left w:val="none" w:sz="0" w:space="0" w:color="auto"/>
        <w:bottom w:val="none" w:sz="0" w:space="0" w:color="auto"/>
        <w:right w:val="none" w:sz="0" w:space="0" w:color="auto"/>
      </w:divBdr>
    </w:div>
    <w:div w:id="1850291779">
      <w:bodyDiv w:val="1"/>
      <w:marLeft w:val="0"/>
      <w:marRight w:val="0"/>
      <w:marTop w:val="0"/>
      <w:marBottom w:val="0"/>
      <w:divBdr>
        <w:top w:val="none" w:sz="0" w:space="0" w:color="auto"/>
        <w:left w:val="none" w:sz="0" w:space="0" w:color="auto"/>
        <w:bottom w:val="none" w:sz="0" w:space="0" w:color="auto"/>
        <w:right w:val="none" w:sz="0" w:space="0" w:color="auto"/>
      </w:divBdr>
    </w:div>
    <w:div w:id="1855067152">
      <w:bodyDiv w:val="1"/>
      <w:marLeft w:val="0"/>
      <w:marRight w:val="0"/>
      <w:marTop w:val="0"/>
      <w:marBottom w:val="0"/>
      <w:divBdr>
        <w:top w:val="none" w:sz="0" w:space="0" w:color="auto"/>
        <w:left w:val="none" w:sz="0" w:space="0" w:color="auto"/>
        <w:bottom w:val="none" w:sz="0" w:space="0" w:color="auto"/>
        <w:right w:val="none" w:sz="0" w:space="0" w:color="auto"/>
      </w:divBdr>
    </w:div>
    <w:div w:id="2095586781">
      <w:bodyDiv w:val="1"/>
      <w:marLeft w:val="0"/>
      <w:marRight w:val="0"/>
      <w:marTop w:val="0"/>
      <w:marBottom w:val="0"/>
      <w:divBdr>
        <w:top w:val="none" w:sz="0" w:space="0" w:color="auto"/>
        <w:left w:val="none" w:sz="0" w:space="0" w:color="auto"/>
        <w:bottom w:val="none" w:sz="0" w:space="0" w:color="auto"/>
        <w:right w:val="none" w:sz="0" w:space="0" w:color="auto"/>
      </w:divBdr>
    </w:div>
    <w:div w:id="2100324362">
      <w:bodyDiv w:val="1"/>
      <w:marLeft w:val="0"/>
      <w:marRight w:val="0"/>
      <w:marTop w:val="0"/>
      <w:marBottom w:val="0"/>
      <w:divBdr>
        <w:top w:val="none" w:sz="0" w:space="0" w:color="auto"/>
        <w:left w:val="none" w:sz="0" w:space="0" w:color="auto"/>
        <w:bottom w:val="none" w:sz="0" w:space="0" w:color="auto"/>
        <w:right w:val="none" w:sz="0" w:space="0" w:color="auto"/>
      </w:divBdr>
      <w:divsChild>
        <w:div w:id="372006225">
          <w:marLeft w:val="0"/>
          <w:marRight w:val="0"/>
          <w:marTop w:val="0"/>
          <w:marBottom w:val="0"/>
          <w:divBdr>
            <w:top w:val="none" w:sz="0" w:space="0" w:color="auto"/>
            <w:left w:val="none" w:sz="0" w:space="0" w:color="auto"/>
            <w:bottom w:val="none" w:sz="0" w:space="0" w:color="auto"/>
            <w:right w:val="none" w:sz="0" w:space="0" w:color="auto"/>
          </w:divBdr>
        </w:div>
      </w:divsChild>
    </w:div>
    <w:div w:id="212803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rtsandwestessex.icb.nhs.uk/downloads/file/146/complaints-concerns-and-patient-feedback-polic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package" Target="embeddings/Microsoft_Word_Document.docx"/></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492D1-CE95-47F6-88A0-C0976E063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22</Pages>
  <Words>5074</Words>
  <Characters>29636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Herts Health Informatics</Company>
  <LinksUpToDate>false</LinksUpToDate>
  <CharactersWithSpaces>34641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feal</dc:creator>
  <cp:lastModifiedBy>DOSANJH, Jas (NHS HERTFORDSHIRE AND WEST ESSEX ICB - 06K)</cp:lastModifiedBy>
  <cp:revision>18</cp:revision>
  <cp:lastPrinted>2014-10-13T12:40:00Z</cp:lastPrinted>
  <dcterms:created xsi:type="dcterms:W3CDTF">2023-10-06T08:21:00Z</dcterms:created>
  <dcterms:modified xsi:type="dcterms:W3CDTF">2023-11-16T22:00:00Z</dcterms:modified>
</cp:coreProperties>
</file>